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540B" w14:textId="3AFDBE4B" w:rsidR="00065C63" w:rsidRPr="00946786" w:rsidRDefault="00065C63" w:rsidP="007063EE"/>
    <w:p w14:paraId="4EFE9126" w14:textId="23F2E131" w:rsidR="00946786" w:rsidRPr="00946786" w:rsidRDefault="00946786" w:rsidP="007063EE"/>
    <w:p w14:paraId="58CF93D6" w14:textId="3DB46A30" w:rsidR="00946786" w:rsidRPr="00946786" w:rsidRDefault="00946786" w:rsidP="007063EE"/>
    <w:p w14:paraId="3DA27458" w14:textId="77209FAE" w:rsidR="00946786" w:rsidRPr="00946786" w:rsidRDefault="00946786" w:rsidP="007063EE"/>
    <w:p w14:paraId="1EF4BC26" w14:textId="3DB0786D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801521B" w14:textId="6687C439" w:rsidR="00946786" w:rsidRDefault="00946786" w:rsidP="007063EE">
      <w:pPr>
        <w:rPr>
          <w:rFonts w:eastAsia="Times New Roman"/>
          <w:color w:val="222222"/>
          <w:szCs w:val="20"/>
        </w:rPr>
      </w:pPr>
    </w:p>
    <w:p w14:paraId="41DF2FC9" w14:textId="3117B470" w:rsidR="00946786" w:rsidRDefault="00946786" w:rsidP="007063EE">
      <w:pPr>
        <w:rPr>
          <w:rFonts w:eastAsia="Times New Roman"/>
          <w:color w:val="222222"/>
          <w:szCs w:val="20"/>
        </w:rPr>
      </w:pPr>
    </w:p>
    <w:p w14:paraId="4007F18F" w14:textId="57685768" w:rsidR="00C23597" w:rsidRDefault="00FA2E1F" w:rsidP="00C23597">
      <w:pPr>
        <w:rPr>
          <w:rFonts w:eastAsia="Times New Roman"/>
          <w:b/>
          <w:bCs/>
          <w:color w:val="222222"/>
          <w:sz w:val="24"/>
          <w:lang w:val="it-IT"/>
        </w:rPr>
      </w:pPr>
      <w:r>
        <w:rPr>
          <w:rFonts w:eastAsia="Times New Roman"/>
          <w:b/>
          <w:bCs/>
          <w:color w:val="222222"/>
          <w:sz w:val="24"/>
          <w:lang w:val="it-IT"/>
        </w:rPr>
        <w:t>P</w:t>
      </w:r>
      <w:r w:rsidRPr="00FA2E1F">
        <w:rPr>
          <w:rFonts w:eastAsia="Times New Roman"/>
          <w:b/>
          <w:bCs/>
          <w:color w:val="222222"/>
          <w:sz w:val="24"/>
          <w:lang w:val="it-IT"/>
        </w:rPr>
        <w:t xml:space="preserve">arte de </w:t>
      </w:r>
      <w:proofErr w:type="spellStart"/>
      <w:r w:rsidRPr="00FA2E1F">
        <w:rPr>
          <w:rFonts w:eastAsia="Times New Roman"/>
          <w:b/>
          <w:bCs/>
          <w:color w:val="222222"/>
          <w:sz w:val="24"/>
          <w:lang w:val="it-IT"/>
        </w:rPr>
        <w:t>algo</w:t>
      </w:r>
      <w:proofErr w:type="spellEnd"/>
      <w:r w:rsidRPr="00FA2E1F">
        <w:rPr>
          <w:rFonts w:eastAsia="Times New Roman"/>
          <w:b/>
          <w:bCs/>
          <w:color w:val="222222"/>
          <w:sz w:val="24"/>
          <w:lang w:val="it-IT"/>
        </w:rPr>
        <w:t xml:space="preserve"> </w:t>
      </w:r>
      <w:proofErr w:type="spellStart"/>
      <w:r w:rsidRPr="00FA2E1F">
        <w:rPr>
          <w:rFonts w:eastAsia="Times New Roman"/>
          <w:b/>
          <w:bCs/>
          <w:color w:val="222222"/>
          <w:sz w:val="24"/>
          <w:lang w:val="it-IT"/>
        </w:rPr>
        <w:t>más</w:t>
      </w:r>
      <w:proofErr w:type="spellEnd"/>
      <w:r w:rsidRPr="00FA2E1F">
        <w:rPr>
          <w:rFonts w:eastAsia="Times New Roman"/>
          <w:b/>
          <w:bCs/>
          <w:color w:val="222222"/>
          <w:sz w:val="24"/>
          <w:lang w:val="it-IT"/>
        </w:rPr>
        <w:t xml:space="preserve"> grande</w:t>
      </w:r>
    </w:p>
    <w:p w14:paraId="40E632BE" w14:textId="77777777" w:rsidR="00FA2E1F" w:rsidRPr="00FA2E1F" w:rsidRDefault="00FA2E1F" w:rsidP="00C23597">
      <w:pPr>
        <w:rPr>
          <w:rFonts w:eastAsia="Times New Roman"/>
          <w:color w:val="222222"/>
          <w:szCs w:val="20"/>
          <w:lang w:val="it-IT"/>
        </w:rPr>
      </w:pPr>
    </w:p>
    <w:p w14:paraId="786A72BA" w14:textId="77777777" w:rsidR="00FA2E1F" w:rsidRPr="00880B3A" w:rsidRDefault="00FA2E1F" w:rsidP="00FA2E1F">
      <w:pPr>
        <w:rPr>
          <w:rFonts w:eastAsia="Times New Roman"/>
          <w:color w:val="222222"/>
          <w:szCs w:val="20"/>
          <w:lang w:val="it-IT"/>
        </w:rPr>
      </w:pPr>
      <w:proofErr w:type="spellStart"/>
      <w:r w:rsidRPr="00880B3A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(NYSE: NX) es una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empresa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fabricación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mundial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fundada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en 1927 y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que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cotiza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en la bolsa de Wall Street,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que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suministra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a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los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fabricantes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equipos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originales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componentes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construcción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880B3A">
        <w:rPr>
          <w:rFonts w:eastAsia="Times New Roman"/>
          <w:color w:val="222222"/>
          <w:szCs w:val="20"/>
          <w:lang w:val="it-IT"/>
        </w:rPr>
        <w:t>calidad</w:t>
      </w:r>
      <w:proofErr w:type="spellEnd"/>
      <w:r w:rsidRPr="00880B3A">
        <w:rPr>
          <w:rFonts w:eastAsia="Times New Roman"/>
          <w:color w:val="222222"/>
          <w:szCs w:val="20"/>
          <w:lang w:val="it-IT"/>
        </w:rPr>
        <w:t xml:space="preserve">. </w:t>
      </w:r>
    </w:p>
    <w:p w14:paraId="26C048CD" w14:textId="77777777" w:rsidR="00FA2E1F" w:rsidRPr="00880B3A" w:rsidRDefault="00FA2E1F" w:rsidP="00FA2E1F">
      <w:pPr>
        <w:rPr>
          <w:rFonts w:eastAsia="Times New Roman"/>
          <w:color w:val="222222"/>
          <w:szCs w:val="20"/>
          <w:lang w:val="it-IT"/>
        </w:rPr>
      </w:pPr>
    </w:p>
    <w:p w14:paraId="39B5A46F" w14:textId="77777777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  <w:r w:rsidRPr="00FA2E1F">
        <w:rPr>
          <w:rFonts w:eastAsia="Times New Roman"/>
          <w:color w:val="222222"/>
          <w:szCs w:val="20"/>
          <w:lang w:val="it-IT"/>
        </w:rPr>
        <w:t xml:space="preserve">Con sede en Houston, TX,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más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60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centros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7.000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empleados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todo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mundo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es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multinacional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presente en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más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90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mercados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en la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producción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accesorios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para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ventanas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paneles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madera,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extrusiones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PVC,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soluciones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especiales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acceso y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paneles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solares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>.</w:t>
      </w:r>
    </w:p>
    <w:p w14:paraId="08720680" w14:textId="77777777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</w:p>
    <w:p w14:paraId="19701D9E" w14:textId="77777777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  <w:r w:rsidRPr="00FA2E1F">
        <w:rPr>
          <w:rFonts w:eastAsia="Times New Roman"/>
          <w:color w:val="222222"/>
          <w:szCs w:val="20"/>
          <w:lang w:val="it-IT"/>
        </w:rPr>
        <w:t xml:space="preserve">En 2024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adquirió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Tyman,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alcanzando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facturación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2.000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millones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con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objetivo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convertirse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proveedor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líder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soluciones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para la industria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ventanas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puertas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. Con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cartera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marcas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ampliada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capacidades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innovación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diseño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reforzadas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huella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geográfica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diversificada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se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posiciona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como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empresa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líder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fabricación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mundial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>.</w:t>
      </w:r>
    </w:p>
    <w:p w14:paraId="7D2CE3F4" w14:textId="77777777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</w:p>
    <w:p w14:paraId="3E31F244" w14:textId="1095A7CD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  <w:proofErr w:type="spellStart"/>
      <w:r w:rsidRPr="00FA2E1F">
        <w:rPr>
          <w:rFonts w:eastAsia="Times New Roman"/>
          <w:color w:val="222222"/>
          <w:szCs w:val="20"/>
          <w:lang w:val="it-IT"/>
        </w:rPr>
        <w:t>Desde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r w:rsidR="00880B3A">
        <w:rPr>
          <w:rFonts w:eastAsia="Times New Roman"/>
          <w:color w:val="222222"/>
          <w:szCs w:val="20"/>
          <w:lang w:val="it-IT"/>
        </w:rPr>
        <w:t>skyline</w:t>
      </w:r>
      <w:r w:rsidRPr="00FA2E1F">
        <w:rPr>
          <w:rFonts w:eastAsia="Times New Roman"/>
          <w:color w:val="222222"/>
          <w:szCs w:val="20"/>
          <w:lang w:val="it-IT"/>
        </w:rPr>
        <w:t xml:space="preserve"> de Dubai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hasta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hogares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residenciales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se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compromete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a innovar y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mejorar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el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rendimiento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, la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sostenibilidad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la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estética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productos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soluciones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través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la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innovación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continua, y </w:t>
      </w:r>
      <w:proofErr w:type="gramStart"/>
      <w:r w:rsidRPr="00FA2E1F">
        <w:rPr>
          <w:rFonts w:eastAsia="Times New Roman"/>
          <w:color w:val="222222"/>
          <w:szCs w:val="20"/>
          <w:lang w:val="it-IT"/>
        </w:rPr>
        <w:t>a</w:t>
      </w:r>
      <w:proofErr w:type="gram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ayudar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clientes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a lograr una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mayor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eficiencia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en la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fabricación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>.</w:t>
      </w:r>
    </w:p>
    <w:p w14:paraId="1D27E077" w14:textId="77777777" w:rsidR="00FA2E1F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</w:p>
    <w:p w14:paraId="1C0F7848" w14:textId="1DDAECD4" w:rsidR="00C23597" w:rsidRPr="00FA2E1F" w:rsidRDefault="00FA2E1F" w:rsidP="00FA2E1F">
      <w:pPr>
        <w:rPr>
          <w:rFonts w:eastAsia="Times New Roman"/>
          <w:color w:val="222222"/>
          <w:szCs w:val="20"/>
          <w:lang w:val="it-IT"/>
        </w:rPr>
      </w:pPr>
      <w:proofErr w:type="spellStart"/>
      <w:r w:rsidRPr="00FA2E1F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es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más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que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un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simple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proveedor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: se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enorgullece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ser parte integrante del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trabajo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los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productos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acabados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sus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FA2E1F">
        <w:rPr>
          <w:rFonts w:eastAsia="Times New Roman"/>
          <w:color w:val="222222"/>
          <w:szCs w:val="20"/>
          <w:lang w:val="it-IT"/>
        </w:rPr>
        <w:t>socios</w:t>
      </w:r>
      <w:proofErr w:type="spellEnd"/>
      <w:r w:rsidRPr="00FA2E1F">
        <w:rPr>
          <w:rFonts w:eastAsia="Times New Roman"/>
          <w:color w:val="222222"/>
          <w:szCs w:val="20"/>
          <w:lang w:val="it-IT"/>
        </w:rPr>
        <w:t>.</w:t>
      </w:r>
    </w:p>
    <w:p w14:paraId="28FF7C75" w14:textId="77A8F07F" w:rsidR="001540FB" w:rsidRPr="00880B3A" w:rsidRDefault="001540FB" w:rsidP="00C23597">
      <w:pPr>
        <w:rPr>
          <w:rFonts w:eastAsia="Times New Roman"/>
          <w:color w:val="222222"/>
          <w:szCs w:val="20"/>
          <w:lang w:val="it-IT"/>
        </w:rPr>
      </w:pPr>
      <w:r w:rsidRPr="00880B3A">
        <w:rPr>
          <w:rFonts w:eastAsia="Times New Roman"/>
          <w:color w:val="222222"/>
          <w:szCs w:val="20"/>
          <w:lang w:val="it-IT"/>
        </w:rPr>
        <w:t>---</w:t>
      </w:r>
    </w:p>
    <w:p w14:paraId="4244FB5D" w14:textId="77777777" w:rsidR="001540FB" w:rsidRPr="00880B3A" w:rsidRDefault="001540FB" w:rsidP="007063EE">
      <w:pPr>
        <w:rPr>
          <w:rFonts w:eastAsia="Times New Roman"/>
          <w:color w:val="222222"/>
          <w:szCs w:val="20"/>
          <w:lang w:val="it-IT"/>
        </w:rPr>
      </w:pPr>
    </w:p>
    <w:p w14:paraId="22782C8F" w14:textId="6FB9D948" w:rsidR="00C23597" w:rsidRPr="00B72C18" w:rsidRDefault="00B72C18" w:rsidP="00C23597">
      <w:pPr>
        <w:tabs>
          <w:tab w:val="left" w:pos="5080"/>
        </w:tabs>
        <w:rPr>
          <w:rFonts w:eastAsia="Times New Roman"/>
          <w:color w:val="222222"/>
          <w:szCs w:val="20"/>
          <w:lang w:val="it-IT"/>
        </w:rPr>
      </w:pPr>
      <w:r w:rsidRPr="00B72C18">
        <w:rPr>
          <w:rFonts w:eastAsia="Times New Roman"/>
          <w:color w:val="222222"/>
          <w:szCs w:val="20"/>
          <w:lang w:val="it-IT"/>
        </w:rPr>
        <w:t xml:space="preserve">Las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soluciones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la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cartera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incluyen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>:</w:t>
      </w:r>
    </w:p>
    <w:p w14:paraId="4F122739" w14:textId="77777777" w:rsidR="00B72C18" w:rsidRPr="00B72C18" w:rsidRDefault="00B72C18" w:rsidP="00C23597">
      <w:pPr>
        <w:tabs>
          <w:tab w:val="left" w:pos="5080"/>
        </w:tabs>
        <w:rPr>
          <w:rFonts w:eastAsia="Times New Roman"/>
          <w:color w:val="222222"/>
          <w:szCs w:val="20"/>
          <w:lang w:val="it-IT"/>
        </w:rPr>
      </w:pPr>
    </w:p>
    <w:p w14:paraId="772AC747" w14:textId="77777777" w:rsidR="00B72C18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Accesorios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alto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rendimiento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para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ventanas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puertas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aluminio</w:t>
      </w:r>
      <w:proofErr w:type="spellEnd"/>
    </w:p>
    <w:p w14:paraId="3F2BF524" w14:textId="77777777" w:rsidR="00B72C18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Manillas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diseño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accesorios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para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ventanas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puertas</w:t>
      </w:r>
      <w:proofErr w:type="spellEnd"/>
    </w:p>
    <w:p w14:paraId="146833C8" w14:textId="77777777" w:rsidR="00B72C18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Juntas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sistemas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sellado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alta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calidad</w:t>
      </w:r>
      <w:proofErr w:type="spellEnd"/>
    </w:p>
    <w:p w14:paraId="41BD4DE2" w14:textId="77777777" w:rsid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Sistemas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separadores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para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vidrio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aislante</w:t>
      </w:r>
      <w:proofErr w:type="spellEnd"/>
    </w:p>
    <w:p w14:paraId="51A53919" w14:textId="5021F4E8" w:rsidR="00B72C18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Accesos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especiales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tejados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suelos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protección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contra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incendios</w:t>
      </w:r>
      <w:proofErr w:type="spellEnd"/>
    </w:p>
    <w:p w14:paraId="4A8C526B" w14:textId="77777777" w:rsidR="00B72C18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Alarmas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inteligentes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cámaras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sistemas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seguridad</w:t>
      </w:r>
      <w:proofErr w:type="spellEnd"/>
    </w:p>
    <w:p w14:paraId="160F4C91" w14:textId="77777777" w:rsid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Perfiles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vinilo para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puertas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ventanas</w:t>
      </w:r>
      <w:proofErr w:type="spellEnd"/>
    </w:p>
    <w:p w14:paraId="734D8768" w14:textId="0C4D8C62" w:rsidR="00946786" w:rsidRPr="00B72C18" w:rsidRDefault="00B72C18" w:rsidP="00B72C18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it-IT"/>
        </w:rPr>
      </w:pPr>
      <w:proofErr w:type="spellStart"/>
      <w:r w:rsidRPr="00B72C18">
        <w:rPr>
          <w:rFonts w:eastAsia="Times New Roman"/>
          <w:color w:val="222222"/>
          <w:szCs w:val="20"/>
          <w:lang w:val="it-IT"/>
        </w:rPr>
        <w:t>Rejas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personalizadas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para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ventanas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elementos</w:t>
      </w:r>
      <w:proofErr w:type="spellEnd"/>
      <w:r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decorativos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,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detalles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de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carpintería</w:t>
      </w:r>
      <w:proofErr w:type="spellEnd"/>
      <w:r w:rsidRPr="00B72C18">
        <w:rPr>
          <w:rFonts w:eastAsia="Times New Roman"/>
          <w:color w:val="222222"/>
          <w:szCs w:val="20"/>
          <w:lang w:val="it-IT"/>
        </w:rPr>
        <w:t xml:space="preserve"> y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molduras</w:t>
      </w:r>
      <w:proofErr w:type="spellEnd"/>
      <w:r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B72C18">
        <w:rPr>
          <w:rFonts w:eastAsia="Times New Roman"/>
          <w:color w:val="222222"/>
          <w:szCs w:val="20"/>
          <w:lang w:val="it-IT"/>
        </w:rPr>
        <w:t>arquitectónicas</w:t>
      </w:r>
      <w:proofErr w:type="spellEnd"/>
      <w:r w:rsidR="00FA7410" w:rsidRPr="00B72C18">
        <w:rPr>
          <w:rFonts w:eastAsia="Times New Roman"/>
          <w:color w:val="222222"/>
          <w:szCs w:val="20"/>
          <w:lang w:val="it-IT"/>
        </w:rPr>
        <w:tab/>
      </w:r>
    </w:p>
    <w:p w14:paraId="44092C5F" w14:textId="69B32BCA" w:rsidR="00DA65ED" w:rsidRPr="00B72C18" w:rsidRDefault="00DA65ED" w:rsidP="0050429F">
      <w:pPr>
        <w:rPr>
          <w:rFonts w:eastAsia="Times New Roman"/>
          <w:i/>
          <w:color w:val="222222"/>
          <w:szCs w:val="20"/>
          <w:lang w:val="it-IT"/>
        </w:rPr>
      </w:pPr>
    </w:p>
    <w:p w14:paraId="7FED20F5" w14:textId="3A927FDC" w:rsidR="00DA65ED" w:rsidRPr="00B72C18" w:rsidRDefault="00DA65ED" w:rsidP="0050429F">
      <w:pPr>
        <w:rPr>
          <w:rFonts w:eastAsia="Times New Roman"/>
          <w:i/>
          <w:color w:val="222222"/>
          <w:szCs w:val="20"/>
          <w:lang w:val="it-IT"/>
        </w:rPr>
      </w:pPr>
    </w:p>
    <w:p w14:paraId="476BCF33" w14:textId="358DE448" w:rsidR="00D450FB" w:rsidRPr="00B72C18" w:rsidRDefault="00D450FB" w:rsidP="0050429F">
      <w:pPr>
        <w:rPr>
          <w:lang w:val="it-IT"/>
        </w:rPr>
      </w:pPr>
    </w:p>
    <w:p w14:paraId="1A7F6064" w14:textId="312C3868" w:rsidR="00D450FB" w:rsidRPr="00B72C18" w:rsidRDefault="00D450FB" w:rsidP="0050429F">
      <w:pPr>
        <w:rPr>
          <w:lang w:val="it-IT"/>
        </w:rPr>
      </w:pPr>
    </w:p>
    <w:p w14:paraId="082DA27A" w14:textId="0AA6814D" w:rsidR="00D450FB" w:rsidRPr="00B72C18" w:rsidRDefault="00D450FB" w:rsidP="0050429F">
      <w:pPr>
        <w:rPr>
          <w:lang w:val="it-IT"/>
        </w:rPr>
      </w:pPr>
    </w:p>
    <w:p w14:paraId="09DA7C40" w14:textId="4B7B724E" w:rsidR="00D450FB" w:rsidRPr="00B72C18" w:rsidRDefault="00DA65ED" w:rsidP="0050429F">
      <w:pPr>
        <w:rPr>
          <w:lang w:val="it-IT"/>
        </w:rPr>
      </w:pPr>
      <w:r w:rsidRPr="00B72C18">
        <w:rPr>
          <w:lang w:val="it-IT"/>
        </w:rPr>
        <w:t xml:space="preserve">  </w:t>
      </w:r>
    </w:p>
    <w:sectPr w:rsidR="00D450FB" w:rsidRPr="00B72C18" w:rsidSect="005472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843" w:right="1440" w:bottom="2347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7E8A0" w14:textId="77777777" w:rsidR="00765157" w:rsidRDefault="00765157" w:rsidP="00946786">
      <w:pPr>
        <w:spacing w:line="240" w:lineRule="auto"/>
      </w:pPr>
      <w:r>
        <w:separator/>
      </w:r>
    </w:p>
  </w:endnote>
  <w:endnote w:type="continuationSeparator" w:id="0">
    <w:p w14:paraId="34177AD9" w14:textId="77777777" w:rsidR="00765157" w:rsidRDefault="00765157" w:rsidP="0094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76549395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AA533E" w14:textId="0BC8E24A" w:rsidR="00855B5F" w:rsidRDefault="00855B5F" w:rsidP="00BE781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8CB9B4" w14:textId="77777777" w:rsidR="00855B5F" w:rsidRDefault="00855B5F" w:rsidP="00855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82880" w14:textId="71798589" w:rsidR="00855B5F" w:rsidRDefault="00BF638B" w:rsidP="00855B5F">
    <w:pPr>
      <w:ind w:right="-63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303CE60B" wp14:editId="58F3A7CB">
              <wp:simplePos x="0" y="0"/>
              <wp:positionH relativeFrom="column">
                <wp:posOffset>-238125</wp:posOffset>
              </wp:positionH>
              <wp:positionV relativeFrom="page">
                <wp:posOffset>9372600</wp:posOffset>
              </wp:positionV>
              <wp:extent cx="5181600" cy="904875"/>
              <wp:effectExtent l="0" t="0" r="0" b="0"/>
              <wp:wrapNone/>
              <wp:docPr id="187074895" name="Text Box 1870748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0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85F7F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24744D86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1CCEE4F9" w14:textId="77777777" w:rsidR="00EA378A" w:rsidRDefault="00EA378A" w:rsidP="00EA378A">
                          <w:pPr>
                            <w:spacing w:line="240" w:lineRule="auto"/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EA378A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>
                            <w:t xml:space="preserve"> </w:t>
                          </w:r>
                        </w:p>
                        <w:p w14:paraId="4832EF63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145B7281" w14:textId="46E5A29E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2994024E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7EAB1CE8" w14:textId="1F573172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3CE60B" id="_x0000_t202" coordsize="21600,21600" o:spt="202" path="m,l,21600r21600,l21600,xe">
              <v:stroke joinstyle="miter"/>
              <v:path gradientshapeok="t" o:connecttype="rect"/>
            </v:shapetype>
            <v:shape id="Text Box 187074895" o:spid="_x0000_s1026" type="#_x0000_t202" style="position:absolute;left:0;text-align:left;margin-left:-18.75pt;margin-top:738pt;width:408pt;height:7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" filled="f" stroked="f" strokeweight=".5pt">
              <v:textbox>
                <w:txbxContent>
                  <w:p w14:paraId="05F85F7F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24744D86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1CCEE4F9" w14:textId="77777777" w:rsidR="00EA378A" w:rsidRDefault="00EA378A" w:rsidP="00EA378A">
                    <w:pPr>
                      <w:spacing w:line="240" w:lineRule="auto"/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EA378A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>
                      <w:t xml:space="preserve"> </w:t>
                    </w:r>
                  </w:p>
                  <w:p w14:paraId="4832EF63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145B7281" w14:textId="46E5A29E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2994024E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7EAB1CE8" w14:textId="1F573172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69406C51" w14:textId="7D1032CB" w:rsidR="004F3996" w:rsidRPr="00855B5F" w:rsidRDefault="004F3996" w:rsidP="00855B5F">
    <w:pPr>
      <w:ind w:right="-630"/>
      <w:jc w:val="right"/>
      <w:rPr>
        <w:rFonts w:ascii="Calibri" w:hAnsi="Calibri" w:cs="Calibri"/>
        <w:sz w:val="16"/>
        <w:szCs w:val="16"/>
      </w:rPr>
    </w:pPr>
  </w:p>
  <w:p w14:paraId="757A6C86" w14:textId="76FA6D2B" w:rsidR="00DA65ED" w:rsidRDefault="00DA65ED" w:rsidP="00855B5F">
    <w:pPr>
      <w:rPr>
        <w:rFonts w:ascii="Calibri" w:hAnsi="Calibri" w:cs="Calibri"/>
        <w:sz w:val="16"/>
        <w:szCs w:val="16"/>
      </w:rPr>
    </w:pPr>
  </w:p>
  <w:p w14:paraId="4B8173DB" w14:textId="7589E7FA" w:rsidR="004F3996" w:rsidRDefault="004F3996" w:rsidP="00855B5F">
    <w:pPr>
      <w:rPr>
        <w:rFonts w:ascii="Calibri" w:hAnsi="Calibri" w:cs="Calibri"/>
        <w:sz w:val="16"/>
        <w:szCs w:val="16"/>
      </w:rPr>
    </w:pPr>
  </w:p>
  <w:p w14:paraId="0FE9582A" w14:textId="4D41506F" w:rsidR="00DA65ED" w:rsidRDefault="00DA65ED" w:rsidP="00855B5F">
    <w:pPr>
      <w:rPr>
        <w:rFonts w:ascii="Calibri" w:hAnsi="Calibri" w:cs="Calibri"/>
        <w:sz w:val="16"/>
        <w:szCs w:val="16"/>
      </w:rPr>
    </w:pPr>
  </w:p>
  <w:p w14:paraId="4576D364" w14:textId="45399C3E" w:rsidR="00DA65ED" w:rsidRPr="00855B5F" w:rsidRDefault="004F3996" w:rsidP="004F3996">
    <w:pPr>
      <w:tabs>
        <w:tab w:val="left" w:pos="7622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14516" w14:textId="43999ABC" w:rsidR="00731B0A" w:rsidRDefault="00BF638B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138569D" wp14:editId="66529AD6">
              <wp:simplePos x="0" y="0"/>
              <wp:positionH relativeFrom="column">
                <wp:posOffset>-247650</wp:posOffset>
              </wp:positionH>
              <wp:positionV relativeFrom="page">
                <wp:posOffset>9372600</wp:posOffset>
              </wp:positionV>
              <wp:extent cx="5349240" cy="952500"/>
              <wp:effectExtent l="0" t="0" r="0" b="0"/>
              <wp:wrapNone/>
              <wp:docPr id="1043501115" name="Text Box 1043501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9240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993AB4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6C6DBEDD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49401C52" w14:textId="5A418A72" w:rsidR="000E4B25" w:rsidRDefault="000E4B25" w:rsidP="000E4B25">
                          <w:pPr>
                            <w:spacing w:line="240" w:lineRule="auto"/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BF638B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 w:rsidR="00EA378A">
                            <w:t xml:space="preserve"> </w:t>
                          </w:r>
                        </w:p>
                        <w:p w14:paraId="3B8B4F54" w14:textId="77777777" w:rsidR="000E4B25" w:rsidRPr="00BF638B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2899AC0C" w14:textId="757065A3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6A6F25AD" w14:textId="77777777" w:rsidR="000E4B25" w:rsidRPr="00EA378A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00CC4B9D" w14:textId="502E344C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8569D" id="_x0000_t202" coordsize="21600,21600" o:spt="202" path="m,l,21600r21600,l21600,xe">
              <v:stroke joinstyle="miter"/>
              <v:path gradientshapeok="t" o:connecttype="rect"/>
            </v:shapetype>
            <v:shape id="Text Box 1043501115" o:spid="_x0000_s1028" type="#_x0000_t202" style="position:absolute;left:0;text-align:left;margin-left:-19.5pt;margin-top:738pt;width:421.2pt;height: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" filled="f" stroked="f" strokeweight=".5pt">
              <v:textbox>
                <w:txbxContent>
                  <w:p w14:paraId="17993AB4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6C6DBEDD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49401C52" w14:textId="5A418A72" w:rsidR="000E4B25" w:rsidRDefault="000E4B25" w:rsidP="000E4B25">
                    <w:pPr>
                      <w:spacing w:line="240" w:lineRule="auto"/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BF638B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 w:rsidR="00EA378A">
                      <w:t xml:space="preserve"> </w:t>
                    </w:r>
                  </w:p>
                  <w:p w14:paraId="3B8B4F54" w14:textId="77777777" w:rsidR="000E4B25" w:rsidRPr="00BF638B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2899AC0C" w14:textId="757065A3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6A6F25AD" w14:textId="77777777" w:rsidR="000E4B25" w:rsidRPr="00EA378A" w:rsidRDefault="000E4B25" w:rsidP="000E4B25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00CC4B9D" w14:textId="502E344C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3BB53CF2" w14:textId="16C94CF2" w:rsidR="004F3996" w:rsidRDefault="004F3996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</w:p>
  <w:p w14:paraId="7BB12F00" w14:textId="039B6F87" w:rsidR="009E33A6" w:rsidRDefault="009E33A6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  <w:p w14:paraId="47FB5FB8" w14:textId="569D8D46" w:rsidR="00FA7410" w:rsidRDefault="00FA7410" w:rsidP="00FA7410">
    <w:pPr>
      <w:tabs>
        <w:tab w:val="left" w:pos="6960"/>
        <w:tab w:val="right" w:pos="9740"/>
      </w:tabs>
      <w:ind w:right="-720"/>
      <w:rPr>
        <w:rStyle w:val="Numeropagina"/>
        <w:rFonts w:ascii="Calibri" w:hAnsi="Calibri" w:cs="Calibri"/>
        <w:sz w:val="16"/>
        <w:szCs w:val="16"/>
      </w:rPr>
    </w:pPr>
  </w:p>
  <w:p w14:paraId="719E726B" w14:textId="09CB529F" w:rsidR="00FA7410" w:rsidRDefault="00FA7410" w:rsidP="00FA7410">
    <w:pPr>
      <w:ind w:right="-720"/>
      <w:rPr>
        <w:rStyle w:val="Numeropagina"/>
        <w:rFonts w:ascii="Calibri" w:hAnsi="Calibri" w:cs="Calibri"/>
        <w:sz w:val="16"/>
        <w:szCs w:val="16"/>
      </w:rPr>
    </w:pPr>
  </w:p>
  <w:p w14:paraId="000DC277" w14:textId="77777777" w:rsidR="00FA7410" w:rsidRDefault="00FA7410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3EBF0" w14:textId="77777777" w:rsidR="00765157" w:rsidRDefault="00765157" w:rsidP="00946786">
      <w:pPr>
        <w:spacing w:line="240" w:lineRule="auto"/>
      </w:pPr>
      <w:r>
        <w:separator/>
      </w:r>
    </w:p>
  </w:footnote>
  <w:footnote w:type="continuationSeparator" w:id="0">
    <w:p w14:paraId="4F5A60E5" w14:textId="77777777" w:rsidR="00765157" w:rsidRDefault="00765157" w:rsidP="00946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6C40" w14:textId="1EA0C4EE" w:rsidR="00946786" w:rsidRDefault="00731B0A">
    <w:r>
      <w:rPr>
        <w:noProof/>
      </w:rPr>
      <w:drawing>
        <wp:anchor distT="0" distB="0" distL="114300" distR="114300" simplePos="0" relativeHeight="251668480" behindDoc="1" locked="0" layoutInCell="1" allowOverlap="1" wp14:anchorId="280DD32C" wp14:editId="02540E71">
          <wp:simplePos x="0" y="0"/>
          <wp:positionH relativeFrom="column">
            <wp:posOffset>-694893</wp:posOffset>
          </wp:positionH>
          <wp:positionV relativeFrom="page">
            <wp:posOffset>173990</wp:posOffset>
          </wp:positionV>
          <wp:extent cx="3098800" cy="866156"/>
          <wp:effectExtent l="0" t="0" r="0" b="0"/>
          <wp:wrapNone/>
          <wp:docPr id="1158808216" name="Picture 13701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8800" cy="8661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6736" w14:textId="4D619AB1" w:rsidR="006E32FF" w:rsidRDefault="006E32FF" w:rsidP="007063EE"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21A94E" wp14:editId="4111FB7F">
              <wp:simplePos x="0" y="0"/>
              <wp:positionH relativeFrom="column">
                <wp:posOffset>3743325</wp:posOffset>
              </wp:positionH>
              <wp:positionV relativeFrom="page">
                <wp:posOffset>495300</wp:posOffset>
              </wp:positionV>
              <wp:extent cx="2499995" cy="17399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9995" cy="1739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1E6858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  <w:t>Giesse S.p.A. società con unico socio</w:t>
                          </w:r>
                        </w:p>
                        <w:p w14:paraId="45A20651" w14:textId="1E626BD8" w:rsidR="009E33A6" w:rsidRPr="00EA378A" w:rsidRDefault="009E33A6" w:rsidP="00731B0A">
                          <w:pPr>
                            <w:spacing w:line="250" w:lineRule="exact"/>
                            <w:jc w:val="right"/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Quanex® </w:t>
                          </w:r>
                          <w:r w:rsidR="000E4B25"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>Hardware Solutions</w:t>
                          </w:r>
                        </w:p>
                        <w:p w14:paraId="42DCF533" w14:textId="77777777" w:rsidR="000E4B25" w:rsidRPr="00A16B91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Sede legale: Via Tubertini 1, 40054 Budrio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Italy  </w:t>
                          </w:r>
                        </w:p>
                        <w:p w14:paraId="31B7806B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TEL:</w:t>
                          </w:r>
                          <w:r w:rsidRPr="005E1827">
                            <w:rPr>
                              <w:color w:val="18693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</w:rPr>
                            <w:t>+39 051 8850000</w:t>
                          </w:r>
                        </w:p>
                        <w:p w14:paraId="67C64902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EMAIL:</w:t>
                          </w:r>
                          <w:r w:rsidRPr="005E182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Pr="00E03D78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info.it@quanex.com</w:t>
                            </w:r>
                          </w:hyperlink>
                        </w:p>
                        <w:p w14:paraId="3CEBBE26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AEA8B47" w14:textId="77777777" w:rsidR="000E4B25" w:rsidRPr="00D94B71" w:rsidRDefault="000E4B25" w:rsidP="000E4B25">
                          <w:pPr>
                            <w:pStyle w:val="URLCAPSSTYLE"/>
                            <w:rPr>
                              <w:color w:val="auto"/>
                            </w:rPr>
                          </w:pPr>
                          <w:r w:rsidRPr="00D94B71">
                            <w:rPr>
                              <w:color w:val="auto"/>
                            </w:rPr>
                            <w:t>QUANEX-INTERNATION</w:t>
                          </w:r>
                          <w:r>
                            <w:rPr>
                              <w:color w:val="auto"/>
                            </w:rPr>
                            <w:t>A</w:t>
                          </w:r>
                          <w:r w:rsidRPr="00D94B71">
                            <w:rPr>
                              <w:color w:val="auto"/>
                            </w:rPr>
                            <w:t>L.COM</w:t>
                          </w:r>
                        </w:p>
                        <w:p w14:paraId="6F329920" w14:textId="52EDE39B" w:rsidR="006E32FF" w:rsidRPr="00731B0A" w:rsidRDefault="000E4B25" w:rsidP="000E4B25">
                          <w:pPr>
                            <w:pStyle w:val="URLCAPSSTYLE"/>
                          </w:pPr>
                          <w:r w:rsidRPr="00731B0A">
                            <w:t>QUANEX.COM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1A9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75pt;margin-top:39pt;width:196.85pt;height:13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" filled="f" stroked="f" strokeweight=".5pt">
              <v:textbox>
                <w:txbxContent>
                  <w:p w14:paraId="071E6858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b/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b/>
                        <w:sz w:val="18"/>
                        <w:szCs w:val="18"/>
                        <w:lang w:val="it-IT"/>
                      </w:rPr>
                      <w:t>Giesse S.p.A. società con unico socio</w:t>
                    </w:r>
                  </w:p>
                  <w:p w14:paraId="45A20651" w14:textId="1E626BD8" w:rsidR="009E33A6" w:rsidRPr="00EA378A" w:rsidRDefault="009E33A6" w:rsidP="00731B0A">
                    <w:pPr>
                      <w:spacing w:line="250" w:lineRule="exact"/>
                      <w:jc w:val="right"/>
                      <w:rPr>
                        <w:bCs/>
                        <w:sz w:val="18"/>
                        <w:szCs w:val="18"/>
                        <w:lang w:val="it-IT"/>
                      </w:rPr>
                    </w:pPr>
                    <w:r w:rsidRPr="00EA378A">
                      <w:rPr>
                        <w:bCs/>
                        <w:sz w:val="18"/>
                        <w:szCs w:val="18"/>
                        <w:lang w:val="it-IT"/>
                      </w:rPr>
                      <w:t xml:space="preserve">Quanex® </w:t>
                    </w:r>
                    <w:r w:rsidR="000E4B25" w:rsidRPr="00EA378A">
                      <w:rPr>
                        <w:bCs/>
                        <w:sz w:val="18"/>
                        <w:szCs w:val="18"/>
                        <w:lang w:val="it-IT"/>
                      </w:rPr>
                      <w:t>Hardware Solutions</w:t>
                    </w:r>
                  </w:p>
                  <w:p w14:paraId="42DCF533" w14:textId="77777777" w:rsidR="000E4B25" w:rsidRPr="00A16B91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sz w:val="18"/>
                        <w:szCs w:val="18"/>
                        <w:lang w:val="it-IT"/>
                      </w:rPr>
                      <w:t>Sede legale: Via Tubertini 1, 40054 Budrio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>–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 xml:space="preserve">Italy  </w:t>
                    </w:r>
                  </w:p>
                  <w:p w14:paraId="31B7806B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TEL:</w:t>
                    </w:r>
                    <w:r w:rsidRPr="005E1827">
                      <w:rPr>
                        <w:color w:val="186937"/>
                        <w:sz w:val="18"/>
                        <w:szCs w:val="18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</w:rPr>
                      <w:t>+39 051 8850000</w:t>
                    </w:r>
                  </w:p>
                  <w:p w14:paraId="67C64902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EMAIL:</w:t>
                    </w:r>
                    <w:r w:rsidRPr="005E1827">
                      <w:rPr>
                        <w:sz w:val="18"/>
                        <w:szCs w:val="18"/>
                      </w:rPr>
                      <w:t xml:space="preserve"> </w:t>
                    </w:r>
                    <w:hyperlink r:id="rId2" w:history="1">
                      <w:r w:rsidRPr="00E03D78">
                        <w:rPr>
                          <w:rStyle w:val="Collegamentoipertestuale"/>
                          <w:sz w:val="18"/>
                          <w:szCs w:val="18"/>
                        </w:rPr>
                        <w:t>info.it@quanex.com</w:t>
                      </w:r>
                    </w:hyperlink>
                  </w:p>
                  <w:p w14:paraId="3CEBBE26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</w:p>
                  <w:p w14:paraId="3AEA8B47" w14:textId="77777777" w:rsidR="000E4B25" w:rsidRPr="00D94B71" w:rsidRDefault="000E4B25" w:rsidP="000E4B25">
                    <w:pPr>
                      <w:pStyle w:val="URLCAPSSTYLE"/>
                      <w:rPr>
                        <w:color w:val="auto"/>
                      </w:rPr>
                    </w:pPr>
                    <w:r w:rsidRPr="00D94B71">
                      <w:rPr>
                        <w:color w:val="auto"/>
                      </w:rPr>
                      <w:t>QUANEX-INTERNATION</w:t>
                    </w:r>
                    <w:r>
                      <w:rPr>
                        <w:color w:val="auto"/>
                      </w:rPr>
                      <w:t>A</w:t>
                    </w:r>
                    <w:r w:rsidRPr="00D94B71">
                      <w:rPr>
                        <w:color w:val="auto"/>
                      </w:rPr>
                      <w:t>L.COM</w:t>
                    </w:r>
                  </w:p>
                  <w:p w14:paraId="6F329920" w14:textId="52EDE39B" w:rsidR="006E32FF" w:rsidRPr="00731B0A" w:rsidRDefault="000E4B25" w:rsidP="000E4B25">
                    <w:pPr>
                      <w:pStyle w:val="URLCAPSSTYLE"/>
                    </w:pPr>
                    <w:r w:rsidRPr="00731B0A">
                      <w:t>QUANEX.COM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1" layoutInCell="1" allowOverlap="1" wp14:anchorId="7EC8E50C" wp14:editId="68066115">
          <wp:simplePos x="0" y="0"/>
          <wp:positionH relativeFrom="column">
            <wp:posOffset>-817880</wp:posOffset>
          </wp:positionH>
          <wp:positionV relativeFrom="page">
            <wp:posOffset>114300</wp:posOffset>
          </wp:positionV>
          <wp:extent cx="2468880" cy="1344168"/>
          <wp:effectExtent l="0" t="0" r="0" b="0"/>
          <wp:wrapNone/>
          <wp:docPr id="356815619" name="Picture 113348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1344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043"/>
    <w:multiLevelType w:val="hybridMultilevel"/>
    <w:tmpl w:val="3680280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D038A"/>
    <w:multiLevelType w:val="hybridMultilevel"/>
    <w:tmpl w:val="E7901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809E0"/>
    <w:multiLevelType w:val="hybridMultilevel"/>
    <w:tmpl w:val="2F46E95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D69EF"/>
    <w:multiLevelType w:val="hybridMultilevel"/>
    <w:tmpl w:val="988832CE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D2E85"/>
    <w:multiLevelType w:val="hybridMultilevel"/>
    <w:tmpl w:val="98B4B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E55B5"/>
    <w:multiLevelType w:val="hybridMultilevel"/>
    <w:tmpl w:val="676AE2F2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852639">
    <w:abstractNumId w:val="4"/>
  </w:num>
  <w:num w:numId="2" w16cid:durableId="482086253">
    <w:abstractNumId w:val="1"/>
  </w:num>
  <w:num w:numId="3" w16cid:durableId="970596562">
    <w:abstractNumId w:val="5"/>
  </w:num>
  <w:num w:numId="4" w16cid:durableId="733898273">
    <w:abstractNumId w:val="3"/>
  </w:num>
  <w:num w:numId="5" w16cid:durableId="911890916">
    <w:abstractNumId w:val="2"/>
  </w:num>
  <w:num w:numId="6" w16cid:durableId="175735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6"/>
    <w:rsid w:val="000060FF"/>
    <w:rsid w:val="0005123D"/>
    <w:rsid w:val="0005392B"/>
    <w:rsid w:val="00065C63"/>
    <w:rsid w:val="000800F9"/>
    <w:rsid w:val="00080EC7"/>
    <w:rsid w:val="000843EC"/>
    <w:rsid w:val="00097932"/>
    <w:rsid w:val="000E4B25"/>
    <w:rsid w:val="001115F3"/>
    <w:rsid w:val="00114480"/>
    <w:rsid w:val="001540FB"/>
    <w:rsid w:val="001811B6"/>
    <w:rsid w:val="001866B3"/>
    <w:rsid w:val="001F5EBE"/>
    <w:rsid w:val="00220BC5"/>
    <w:rsid w:val="002A4AD5"/>
    <w:rsid w:val="00321831"/>
    <w:rsid w:val="0036434B"/>
    <w:rsid w:val="00387A08"/>
    <w:rsid w:val="00453F3E"/>
    <w:rsid w:val="0045649E"/>
    <w:rsid w:val="004F0624"/>
    <w:rsid w:val="004F3996"/>
    <w:rsid w:val="0050429F"/>
    <w:rsid w:val="00514474"/>
    <w:rsid w:val="00522513"/>
    <w:rsid w:val="00532EEC"/>
    <w:rsid w:val="0054724B"/>
    <w:rsid w:val="005E3FC8"/>
    <w:rsid w:val="00672970"/>
    <w:rsid w:val="00691C60"/>
    <w:rsid w:val="006A5F40"/>
    <w:rsid w:val="006E32FF"/>
    <w:rsid w:val="007063EE"/>
    <w:rsid w:val="00714612"/>
    <w:rsid w:val="007221FB"/>
    <w:rsid w:val="00731B0A"/>
    <w:rsid w:val="00765157"/>
    <w:rsid w:val="007A0C4F"/>
    <w:rsid w:val="007F63E0"/>
    <w:rsid w:val="0085379A"/>
    <w:rsid w:val="00855B5F"/>
    <w:rsid w:val="00880B3A"/>
    <w:rsid w:val="008913BC"/>
    <w:rsid w:val="009403DC"/>
    <w:rsid w:val="00946786"/>
    <w:rsid w:val="00986BD9"/>
    <w:rsid w:val="009E33A6"/>
    <w:rsid w:val="00A46D62"/>
    <w:rsid w:val="00A8560B"/>
    <w:rsid w:val="00A92AAD"/>
    <w:rsid w:val="00AC1C8D"/>
    <w:rsid w:val="00AC7DE9"/>
    <w:rsid w:val="00B301DC"/>
    <w:rsid w:val="00B72C18"/>
    <w:rsid w:val="00BF638B"/>
    <w:rsid w:val="00C017C2"/>
    <w:rsid w:val="00C23597"/>
    <w:rsid w:val="00C36664"/>
    <w:rsid w:val="00C72CD2"/>
    <w:rsid w:val="00C813B6"/>
    <w:rsid w:val="00CF4CB6"/>
    <w:rsid w:val="00CF4ECB"/>
    <w:rsid w:val="00D3221B"/>
    <w:rsid w:val="00D450FB"/>
    <w:rsid w:val="00DA65ED"/>
    <w:rsid w:val="00DA66F5"/>
    <w:rsid w:val="00DB0C31"/>
    <w:rsid w:val="00E0676D"/>
    <w:rsid w:val="00E92550"/>
    <w:rsid w:val="00EA378A"/>
    <w:rsid w:val="00FA2E1F"/>
    <w:rsid w:val="00FA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3258"/>
  <w14:defaultImageDpi w14:val="32767"/>
  <w15:chartTrackingRefBased/>
  <w15:docId w15:val="{8AA0FA3D-98BB-7D4D-81E2-6E3FB6A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aliases w:val="Quanex Letterhead Copy"/>
    <w:qFormat/>
    <w:rsid w:val="008913BC"/>
    <w:pPr>
      <w:spacing w:line="240" w:lineRule="exact"/>
    </w:pPr>
    <w:rPr>
      <w:rFonts w:eastAsiaTheme="minorEastAsia"/>
      <w:sz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6D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6D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946786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786"/>
  </w:style>
  <w:style w:type="character" w:styleId="Numeropagina">
    <w:name w:val="page number"/>
    <w:basedOn w:val="Carpredefinitoparagrafo"/>
    <w:uiPriority w:val="99"/>
    <w:semiHidden/>
    <w:unhideWhenUsed/>
    <w:rsid w:val="00855B5F"/>
  </w:style>
  <w:style w:type="paragraph" w:customStyle="1" w:styleId="URLCAPSSTYLE">
    <w:name w:val="URL CAPS STYLE"/>
    <w:qFormat/>
    <w:rsid w:val="00731B0A"/>
    <w:pPr>
      <w:spacing w:line="240" w:lineRule="exact"/>
      <w:jc w:val="right"/>
    </w:pPr>
    <w:rPr>
      <w:rFonts w:cs="Times New Roman (Body CS)"/>
      <w:b/>
      <w:color w:val="186937"/>
      <w:spacing w:val="24"/>
      <w:kern w:val="18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714612"/>
    <w:pPr>
      <w:tabs>
        <w:tab w:val="center" w:pos="4680"/>
        <w:tab w:val="right" w:pos="9360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61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E4B2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540FB"/>
    <w:pPr>
      <w:ind w:left="720"/>
      <w:contextualSpacing/>
    </w:pPr>
  </w:style>
  <w:style w:type="paragraph" w:styleId="Revisione">
    <w:name w:val="Revision"/>
    <w:hidden/>
    <w:uiPriority w:val="99"/>
    <w:semiHidden/>
    <w:rsid w:val="0005392B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info.it@quanex.com" TargetMode="External"/><Relationship Id="rId1" Type="http://schemas.openxmlformats.org/officeDocument/2006/relationships/hyperlink" Target="mailto:info.it@quan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Dore</cp:lastModifiedBy>
  <cp:revision>4</cp:revision>
  <dcterms:created xsi:type="dcterms:W3CDTF">2025-05-13T12:50:00Z</dcterms:created>
  <dcterms:modified xsi:type="dcterms:W3CDTF">2025-05-13T13:27:00Z</dcterms:modified>
</cp:coreProperties>
</file>