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540B" w14:textId="3AFDBE4B" w:rsidR="00065C63" w:rsidRPr="00946786" w:rsidRDefault="00065C63" w:rsidP="007063EE"/>
    <w:p w14:paraId="4EFE9126" w14:textId="23F2E131" w:rsidR="00946786" w:rsidRPr="00946786" w:rsidRDefault="00946786" w:rsidP="007063EE"/>
    <w:p w14:paraId="58CF93D6" w14:textId="3DB46A30" w:rsidR="00946786" w:rsidRPr="00946786" w:rsidRDefault="00946786" w:rsidP="007063EE"/>
    <w:p w14:paraId="3DA27458" w14:textId="77209FAE" w:rsidR="00946786" w:rsidRPr="00946786" w:rsidRDefault="00946786" w:rsidP="007063EE"/>
    <w:p w14:paraId="1EF4BC26" w14:textId="3DB0786D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801521B" w14:textId="6687C439" w:rsidR="00946786" w:rsidRDefault="00946786" w:rsidP="007063EE">
      <w:pPr>
        <w:rPr>
          <w:rFonts w:eastAsia="Times New Roman"/>
          <w:color w:val="222222"/>
          <w:szCs w:val="20"/>
        </w:rPr>
      </w:pPr>
    </w:p>
    <w:p w14:paraId="41DF2FC9" w14:textId="3117B470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11E95C7" w14:textId="7D91AF3A" w:rsidR="0054724B" w:rsidRPr="00C23597" w:rsidRDefault="00C23597" w:rsidP="0054724B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b/>
          <w:bCs/>
          <w:color w:val="222222"/>
          <w:sz w:val="24"/>
        </w:rPr>
        <w:t xml:space="preserve">A </w:t>
      </w:r>
      <w:r>
        <w:rPr>
          <w:rFonts w:eastAsia="Times New Roman"/>
          <w:b/>
          <w:bCs/>
          <w:color w:val="222222"/>
          <w:sz w:val="24"/>
        </w:rPr>
        <w:t>p</w:t>
      </w:r>
      <w:r w:rsidRPr="00C23597">
        <w:rPr>
          <w:rFonts w:eastAsia="Times New Roman"/>
          <w:b/>
          <w:bCs/>
          <w:color w:val="222222"/>
          <w:sz w:val="24"/>
        </w:rPr>
        <w:t>art of something bigger</w:t>
      </w:r>
    </w:p>
    <w:p w14:paraId="4007F18F" w14:textId="77777777" w:rsidR="00C23597" w:rsidRDefault="00C23597" w:rsidP="00C23597">
      <w:pPr>
        <w:rPr>
          <w:rFonts w:eastAsia="Times New Roman"/>
          <w:color w:val="222222"/>
          <w:szCs w:val="20"/>
        </w:rPr>
      </w:pPr>
    </w:p>
    <w:p w14:paraId="56953157" w14:textId="6D786D59" w:rsidR="00C23597" w:rsidRPr="00C23597" w:rsidRDefault="00C23597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 xml:space="preserve">Quanex (NYSE: NX) is a global manufacturing company, founded in 1927 and listed on the Wall Street stock exchange, serving OEMs with quality building components. </w:t>
      </w:r>
    </w:p>
    <w:p w14:paraId="3492B936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</w:p>
    <w:p w14:paraId="7BD827F4" w14:textId="5F5E53FD" w:rsidR="00C23597" w:rsidRPr="00C23597" w:rsidRDefault="00C23597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 xml:space="preserve">Headquartered in Houston, TX, with more than 60 sites and 7,000 employees worldwide, Quanex is a multinational company with a presence in more than 90 markets in the production of window accessories, wood </w:t>
      </w:r>
      <w:r w:rsidRPr="00C23597">
        <w:rPr>
          <w:rFonts w:eastAsia="Times New Roman"/>
          <w:color w:val="222222"/>
          <w:szCs w:val="20"/>
        </w:rPr>
        <w:t>paneling</w:t>
      </w:r>
      <w:r w:rsidRPr="00C23597">
        <w:rPr>
          <w:rFonts w:eastAsia="Times New Roman"/>
          <w:color w:val="222222"/>
          <w:szCs w:val="20"/>
        </w:rPr>
        <w:t>, PVC extrusions, special access solutions and solar panels.</w:t>
      </w:r>
    </w:p>
    <w:p w14:paraId="2E81A597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</w:p>
    <w:p w14:paraId="3EBA65B3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In 2024 Quanex acquired Tyman, reaching a turnover of 2 billion, with the aim of becoming the leading supplier of solutions for the window and door industry. With an expanded brand portfolio, strengthened design innovation capabilities and a diversified geographic footprint, Quanex is positioned as a leading global manufacturing company.</w:t>
      </w:r>
    </w:p>
    <w:p w14:paraId="0FDC67AF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</w:p>
    <w:p w14:paraId="15826E62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 xml:space="preserve">From the Dubai skyline to residential homes, Quanex is committed to innovating and improving </w:t>
      </w:r>
      <w:proofErr w:type="gramStart"/>
      <w:r w:rsidRPr="00C23597">
        <w:rPr>
          <w:rFonts w:eastAsia="Times New Roman"/>
          <w:color w:val="222222"/>
          <w:szCs w:val="20"/>
        </w:rPr>
        <w:t>the performance</w:t>
      </w:r>
      <w:proofErr w:type="gramEnd"/>
      <w:r w:rsidRPr="00C23597">
        <w:rPr>
          <w:rFonts w:eastAsia="Times New Roman"/>
          <w:color w:val="222222"/>
          <w:szCs w:val="20"/>
        </w:rPr>
        <w:t>, sustainability and aesthetics of products and solutions through continuous innovation, and to helping customers achieve greater manufacturing efficiency.</w:t>
      </w:r>
    </w:p>
    <w:p w14:paraId="47D155DB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</w:p>
    <w:p w14:paraId="44D78B80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 xml:space="preserve">Quanex is more than just a supplier: it is proudly an integral part of its partners' work and finished products. </w:t>
      </w:r>
    </w:p>
    <w:p w14:paraId="1C0F7848" w14:textId="77777777" w:rsidR="00C23597" w:rsidRPr="00C23597" w:rsidRDefault="00C23597" w:rsidP="00C23597">
      <w:pPr>
        <w:rPr>
          <w:rFonts w:eastAsia="Times New Roman"/>
          <w:color w:val="222222"/>
          <w:szCs w:val="20"/>
        </w:rPr>
      </w:pPr>
    </w:p>
    <w:p w14:paraId="28FF7C75" w14:textId="77A8F07F" w:rsidR="001540FB" w:rsidRPr="00C23597" w:rsidRDefault="001540FB" w:rsidP="00C23597">
      <w:pPr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---</w:t>
      </w:r>
    </w:p>
    <w:p w14:paraId="4244FB5D" w14:textId="77777777" w:rsidR="001540FB" w:rsidRPr="00C23597" w:rsidRDefault="001540FB" w:rsidP="007063EE">
      <w:pPr>
        <w:rPr>
          <w:rFonts w:eastAsia="Times New Roman"/>
          <w:color w:val="222222"/>
          <w:szCs w:val="20"/>
        </w:rPr>
      </w:pPr>
    </w:p>
    <w:p w14:paraId="52E47C0F" w14:textId="77777777" w:rsidR="00C23597" w:rsidRPr="00C23597" w:rsidRDefault="00C23597" w:rsidP="00C23597">
      <w:pPr>
        <w:tabs>
          <w:tab w:val="left" w:pos="5080"/>
        </w:tabs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Solutions in the Quanex portfolio include:</w:t>
      </w:r>
    </w:p>
    <w:p w14:paraId="22782C8F" w14:textId="77777777" w:rsidR="00C23597" w:rsidRPr="00C23597" w:rsidRDefault="00C23597" w:rsidP="00C23597">
      <w:pPr>
        <w:tabs>
          <w:tab w:val="left" w:pos="5080"/>
        </w:tabs>
        <w:rPr>
          <w:rFonts w:eastAsia="Times New Roman"/>
          <w:color w:val="222222"/>
          <w:szCs w:val="20"/>
        </w:rPr>
      </w:pPr>
    </w:p>
    <w:p w14:paraId="77522D02" w14:textId="77777777" w:rsidR="00C23597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 xml:space="preserve">High performance accessories for </w:t>
      </w:r>
      <w:proofErr w:type="spellStart"/>
      <w:r w:rsidRPr="00C23597">
        <w:rPr>
          <w:rFonts w:eastAsia="Times New Roman"/>
          <w:color w:val="222222"/>
          <w:szCs w:val="20"/>
        </w:rPr>
        <w:t>aluminium</w:t>
      </w:r>
      <w:proofErr w:type="spellEnd"/>
      <w:r w:rsidRPr="00C23597">
        <w:rPr>
          <w:rFonts w:eastAsia="Times New Roman"/>
          <w:color w:val="222222"/>
          <w:szCs w:val="20"/>
        </w:rPr>
        <w:t xml:space="preserve"> windows and doors</w:t>
      </w:r>
    </w:p>
    <w:p w14:paraId="2695955F" w14:textId="77777777" w:rsidR="00C23597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Design handles and accessories for windows and doors</w:t>
      </w:r>
    </w:p>
    <w:p w14:paraId="539029DD" w14:textId="77777777" w:rsidR="00C23597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High-quality seals and sealing systems</w:t>
      </w:r>
    </w:p>
    <w:p w14:paraId="139F4183" w14:textId="77777777" w:rsid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Insulating glass spacer systems</w:t>
      </w:r>
    </w:p>
    <w:p w14:paraId="6F910037" w14:textId="7D392076" w:rsidR="00C23597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Special access, roof, floor, fire protection</w:t>
      </w:r>
    </w:p>
    <w:p w14:paraId="28C23BDD" w14:textId="77777777" w:rsidR="00C23597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Smart alarms, cameras and security systems</w:t>
      </w:r>
    </w:p>
    <w:p w14:paraId="6572EE81" w14:textId="77777777" w:rsid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Vinyl window and door profiles</w:t>
      </w:r>
    </w:p>
    <w:p w14:paraId="734D8768" w14:textId="7D349632" w:rsidR="00946786" w:rsidRPr="00C23597" w:rsidRDefault="00C23597" w:rsidP="00C23597">
      <w:pPr>
        <w:tabs>
          <w:tab w:val="left" w:pos="5080"/>
        </w:tabs>
        <w:ind w:left="720"/>
        <w:rPr>
          <w:rFonts w:eastAsia="Times New Roman"/>
          <w:color w:val="222222"/>
          <w:szCs w:val="20"/>
        </w:rPr>
      </w:pPr>
      <w:r w:rsidRPr="00C23597">
        <w:rPr>
          <w:rFonts w:eastAsia="Times New Roman"/>
          <w:color w:val="222222"/>
          <w:szCs w:val="20"/>
        </w:rPr>
        <w:t>Custom window grilles, trim, millwork, and</w:t>
      </w:r>
      <w:r>
        <w:rPr>
          <w:rFonts w:eastAsia="Times New Roman"/>
          <w:color w:val="222222"/>
          <w:szCs w:val="20"/>
        </w:rPr>
        <w:t xml:space="preserve"> </w:t>
      </w:r>
      <w:r w:rsidRPr="00C23597">
        <w:rPr>
          <w:rFonts w:eastAsia="Times New Roman"/>
          <w:color w:val="222222"/>
          <w:szCs w:val="20"/>
        </w:rPr>
        <w:t>architectural moldings</w:t>
      </w:r>
      <w:r w:rsidR="00FA7410" w:rsidRPr="00C23597">
        <w:rPr>
          <w:rFonts w:eastAsia="Times New Roman"/>
          <w:color w:val="222222"/>
          <w:szCs w:val="20"/>
        </w:rPr>
        <w:tab/>
      </w:r>
    </w:p>
    <w:p w14:paraId="44092C5F" w14:textId="69B32BCA" w:rsidR="00DA65ED" w:rsidRPr="00C23597" w:rsidRDefault="00DA65ED" w:rsidP="0050429F">
      <w:pPr>
        <w:rPr>
          <w:rFonts w:eastAsia="Times New Roman"/>
          <w:i/>
          <w:color w:val="222222"/>
          <w:szCs w:val="20"/>
        </w:rPr>
      </w:pPr>
    </w:p>
    <w:p w14:paraId="7FED20F5" w14:textId="3A927FDC" w:rsidR="00DA65ED" w:rsidRPr="00C23597" w:rsidRDefault="00DA65ED" w:rsidP="0050429F">
      <w:pPr>
        <w:rPr>
          <w:rFonts w:eastAsia="Times New Roman"/>
          <w:i/>
          <w:color w:val="222222"/>
          <w:szCs w:val="20"/>
        </w:rPr>
      </w:pPr>
    </w:p>
    <w:p w14:paraId="476BCF33" w14:textId="358DE448" w:rsidR="00D450FB" w:rsidRPr="00C23597" w:rsidRDefault="00D450FB" w:rsidP="0050429F"/>
    <w:p w14:paraId="1A7F6064" w14:textId="312C3868" w:rsidR="00D450FB" w:rsidRPr="00C23597" w:rsidRDefault="00D450FB" w:rsidP="0050429F"/>
    <w:p w14:paraId="082DA27A" w14:textId="0AA6814D" w:rsidR="00D450FB" w:rsidRPr="00C23597" w:rsidRDefault="00D450FB" w:rsidP="0050429F"/>
    <w:p w14:paraId="09DA7C40" w14:textId="4B7B724E" w:rsidR="00D450FB" w:rsidRPr="00C23597" w:rsidRDefault="00DA65ED" w:rsidP="0050429F">
      <w:r w:rsidRPr="00C23597">
        <w:t xml:space="preserve">  </w:t>
      </w:r>
    </w:p>
    <w:sectPr w:rsidR="00D450FB" w:rsidRPr="00C23597" w:rsidSect="005472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843" w:right="1440" w:bottom="2347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7E8A0" w14:textId="77777777" w:rsidR="00765157" w:rsidRDefault="00765157" w:rsidP="00946786">
      <w:pPr>
        <w:spacing w:line="240" w:lineRule="auto"/>
      </w:pPr>
      <w:r>
        <w:separator/>
      </w:r>
    </w:p>
  </w:endnote>
  <w:endnote w:type="continuationSeparator" w:id="0">
    <w:p w14:paraId="34177AD9" w14:textId="77777777" w:rsidR="00765157" w:rsidRDefault="00765157" w:rsidP="0094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76549395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AA533E" w14:textId="0BC8E24A" w:rsidR="00855B5F" w:rsidRDefault="00855B5F" w:rsidP="00BE781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8CB9B4" w14:textId="77777777" w:rsidR="00855B5F" w:rsidRDefault="00855B5F" w:rsidP="00855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82880" w14:textId="71798589" w:rsidR="00855B5F" w:rsidRDefault="00BF638B" w:rsidP="00855B5F">
    <w:pPr>
      <w:ind w:right="-63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303CE60B" wp14:editId="58F3A7CB">
              <wp:simplePos x="0" y="0"/>
              <wp:positionH relativeFrom="column">
                <wp:posOffset>-238125</wp:posOffset>
              </wp:positionH>
              <wp:positionV relativeFrom="page">
                <wp:posOffset>9372600</wp:posOffset>
              </wp:positionV>
              <wp:extent cx="5181600" cy="904875"/>
              <wp:effectExtent l="0" t="0" r="0" b="0"/>
              <wp:wrapNone/>
              <wp:docPr id="187074895" name="Text Box 1870748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0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85F7F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24744D86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1CCEE4F9" w14:textId="77777777" w:rsidR="00EA378A" w:rsidRDefault="00EA378A" w:rsidP="00EA378A">
                          <w:pPr>
                            <w:spacing w:line="240" w:lineRule="auto"/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EA378A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>
                            <w:t xml:space="preserve"> </w:t>
                          </w:r>
                        </w:p>
                        <w:p w14:paraId="4832EF63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145B7281" w14:textId="46E5A29E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2994024E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7EAB1CE8" w14:textId="1F573172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3CE60B" id="_x0000_t202" coordsize="21600,21600" o:spt="202" path="m,l,21600r21600,l21600,xe">
              <v:stroke joinstyle="miter"/>
              <v:path gradientshapeok="t" o:connecttype="rect"/>
            </v:shapetype>
            <v:shape id="Text Box 187074895" o:spid="_x0000_s1026" type="#_x0000_t202" style="position:absolute;left:0;text-align:left;margin-left:-18.75pt;margin-top:738pt;width:408pt;height:7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" filled="f" stroked="f" strokeweight=".5pt">
              <v:textbox>
                <w:txbxContent>
                  <w:p w14:paraId="05F85F7F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24744D86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1CCEE4F9" w14:textId="77777777" w:rsidR="00EA378A" w:rsidRDefault="00EA378A" w:rsidP="00EA378A">
                    <w:pPr>
                      <w:spacing w:line="240" w:lineRule="auto"/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EA378A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>
                      <w:t xml:space="preserve"> </w:t>
                    </w:r>
                  </w:p>
                  <w:p w14:paraId="4832EF63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145B7281" w14:textId="46E5A29E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2994024E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7EAB1CE8" w14:textId="1F573172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69406C51" w14:textId="7D1032CB" w:rsidR="004F3996" w:rsidRPr="00855B5F" w:rsidRDefault="004F3996" w:rsidP="00855B5F">
    <w:pPr>
      <w:ind w:right="-630"/>
      <w:jc w:val="right"/>
      <w:rPr>
        <w:rFonts w:ascii="Calibri" w:hAnsi="Calibri" w:cs="Calibri"/>
        <w:sz w:val="16"/>
        <w:szCs w:val="16"/>
      </w:rPr>
    </w:pPr>
  </w:p>
  <w:p w14:paraId="757A6C86" w14:textId="76FA6D2B" w:rsidR="00DA65ED" w:rsidRDefault="00DA65ED" w:rsidP="00855B5F">
    <w:pPr>
      <w:rPr>
        <w:rFonts w:ascii="Calibri" w:hAnsi="Calibri" w:cs="Calibri"/>
        <w:sz w:val="16"/>
        <w:szCs w:val="16"/>
      </w:rPr>
    </w:pPr>
  </w:p>
  <w:p w14:paraId="4B8173DB" w14:textId="7589E7FA" w:rsidR="004F3996" w:rsidRDefault="004F3996" w:rsidP="00855B5F">
    <w:pPr>
      <w:rPr>
        <w:rFonts w:ascii="Calibri" w:hAnsi="Calibri" w:cs="Calibri"/>
        <w:sz w:val="16"/>
        <w:szCs w:val="16"/>
      </w:rPr>
    </w:pPr>
  </w:p>
  <w:p w14:paraId="0FE9582A" w14:textId="4D41506F" w:rsidR="00DA65ED" w:rsidRDefault="00DA65ED" w:rsidP="00855B5F">
    <w:pPr>
      <w:rPr>
        <w:rFonts w:ascii="Calibri" w:hAnsi="Calibri" w:cs="Calibri"/>
        <w:sz w:val="16"/>
        <w:szCs w:val="16"/>
      </w:rPr>
    </w:pPr>
  </w:p>
  <w:p w14:paraId="4576D364" w14:textId="45399C3E" w:rsidR="00DA65ED" w:rsidRPr="00855B5F" w:rsidRDefault="004F3996" w:rsidP="004F3996">
    <w:pPr>
      <w:tabs>
        <w:tab w:val="left" w:pos="7622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14516" w14:textId="43999ABC" w:rsidR="00731B0A" w:rsidRDefault="00BF638B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138569D" wp14:editId="66529AD6">
              <wp:simplePos x="0" y="0"/>
              <wp:positionH relativeFrom="column">
                <wp:posOffset>-247650</wp:posOffset>
              </wp:positionH>
              <wp:positionV relativeFrom="page">
                <wp:posOffset>9372600</wp:posOffset>
              </wp:positionV>
              <wp:extent cx="5349240" cy="952500"/>
              <wp:effectExtent l="0" t="0" r="0" b="0"/>
              <wp:wrapNone/>
              <wp:docPr id="1043501115" name="Text Box 1043501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9240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993AB4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6C6DBEDD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49401C52" w14:textId="5A418A72" w:rsidR="000E4B25" w:rsidRDefault="000E4B25" w:rsidP="000E4B25">
                          <w:pPr>
                            <w:spacing w:line="240" w:lineRule="auto"/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BF638B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 w:rsidR="00EA378A">
                            <w:t xml:space="preserve"> </w:t>
                          </w:r>
                        </w:p>
                        <w:p w14:paraId="3B8B4F54" w14:textId="77777777" w:rsidR="000E4B25" w:rsidRPr="00BF638B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2899AC0C" w14:textId="757065A3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6A6F25AD" w14:textId="77777777" w:rsidR="000E4B25" w:rsidRPr="00EA378A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00CC4B9D" w14:textId="502E344C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8569D" id="_x0000_t202" coordsize="21600,21600" o:spt="202" path="m,l,21600r21600,l21600,xe">
              <v:stroke joinstyle="miter"/>
              <v:path gradientshapeok="t" o:connecttype="rect"/>
            </v:shapetype>
            <v:shape id="Text Box 1043501115" o:spid="_x0000_s1028" type="#_x0000_t202" style="position:absolute;left:0;text-align:left;margin-left:-19.5pt;margin-top:738pt;width:421.2pt;height: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" filled="f" stroked="f" strokeweight=".5pt">
              <v:textbox>
                <w:txbxContent>
                  <w:p w14:paraId="17993AB4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6C6DBEDD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49401C52" w14:textId="5A418A72" w:rsidR="000E4B25" w:rsidRDefault="000E4B25" w:rsidP="000E4B25">
                    <w:pPr>
                      <w:spacing w:line="240" w:lineRule="auto"/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BF638B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 w:rsidR="00EA378A">
                      <w:t xml:space="preserve"> </w:t>
                    </w:r>
                  </w:p>
                  <w:p w14:paraId="3B8B4F54" w14:textId="77777777" w:rsidR="000E4B25" w:rsidRPr="00BF638B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2899AC0C" w14:textId="757065A3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6A6F25AD" w14:textId="77777777" w:rsidR="000E4B25" w:rsidRPr="00EA378A" w:rsidRDefault="000E4B25" w:rsidP="000E4B25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00CC4B9D" w14:textId="502E344C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3BB53CF2" w14:textId="16C94CF2" w:rsidR="004F3996" w:rsidRDefault="004F3996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</w:p>
  <w:p w14:paraId="7BB12F00" w14:textId="039B6F87" w:rsidR="009E33A6" w:rsidRDefault="009E33A6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  <w:p w14:paraId="47FB5FB8" w14:textId="569D8D46" w:rsidR="00FA7410" w:rsidRDefault="00FA7410" w:rsidP="00FA7410">
    <w:pPr>
      <w:tabs>
        <w:tab w:val="left" w:pos="6960"/>
        <w:tab w:val="right" w:pos="9740"/>
      </w:tabs>
      <w:ind w:right="-720"/>
      <w:rPr>
        <w:rStyle w:val="Numeropagina"/>
        <w:rFonts w:ascii="Calibri" w:hAnsi="Calibri" w:cs="Calibri"/>
        <w:sz w:val="16"/>
        <w:szCs w:val="16"/>
      </w:rPr>
    </w:pPr>
  </w:p>
  <w:p w14:paraId="719E726B" w14:textId="09CB529F" w:rsidR="00FA7410" w:rsidRDefault="00FA7410" w:rsidP="00FA7410">
    <w:pPr>
      <w:ind w:right="-720"/>
      <w:rPr>
        <w:rStyle w:val="Numeropagina"/>
        <w:rFonts w:ascii="Calibri" w:hAnsi="Calibri" w:cs="Calibri"/>
        <w:sz w:val="16"/>
        <w:szCs w:val="16"/>
      </w:rPr>
    </w:pPr>
  </w:p>
  <w:p w14:paraId="000DC277" w14:textId="77777777" w:rsidR="00FA7410" w:rsidRDefault="00FA7410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3EBF0" w14:textId="77777777" w:rsidR="00765157" w:rsidRDefault="00765157" w:rsidP="00946786">
      <w:pPr>
        <w:spacing w:line="240" w:lineRule="auto"/>
      </w:pPr>
      <w:r>
        <w:separator/>
      </w:r>
    </w:p>
  </w:footnote>
  <w:footnote w:type="continuationSeparator" w:id="0">
    <w:p w14:paraId="4F5A60E5" w14:textId="77777777" w:rsidR="00765157" w:rsidRDefault="00765157" w:rsidP="00946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6C40" w14:textId="1EA0C4EE" w:rsidR="00946786" w:rsidRDefault="00731B0A">
    <w:r>
      <w:rPr>
        <w:noProof/>
      </w:rPr>
      <w:drawing>
        <wp:anchor distT="0" distB="0" distL="114300" distR="114300" simplePos="0" relativeHeight="251668480" behindDoc="1" locked="0" layoutInCell="1" allowOverlap="1" wp14:anchorId="280DD32C" wp14:editId="02540E71">
          <wp:simplePos x="0" y="0"/>
          <wp:positionH relativeFrom="column">
            <wp:posOffset>-694893</wp:posOffset>
          </wp:positionH>
          <wp:positionV relativeFrom="page">
            <wp:posOffset>173990</wp:posOffset>
          </wp:positionV>
          <wp:extent cx="3098800" cy="866156"/>
          <wp:effectExtent l="0" t="0" r="0" b="0"/>
          <wp:wrapNone/>
          <wp:docPr id="1158808216" name="Picture 13701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8800" cy="8661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6736" w14:textId="4D619AB1" w:rsidR="006E32FF" w:rsidRDefault="006E32FF" w:rsidP="007063EE"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21A94E" wp14:editId="4111FB7F">
              <wp:simplePos x="0" y="0"/>
              <wp:positionH relativeFrom="column">
                <wp:posOffset>3743325</wp:posOffset>
              </wp:positionH>
              <wp:positionV relativeFrom="page">
                <wp:posOffset>495300</wp:posOffset>
              </wp:positionV>
              <wp:extent cx="2499995" cy="17399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9995" cy="1739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1E6858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  <w:t>Giesse S.p.A. società con unico socio</w:t>
                          </w:r>
                        </w:p>
                        <w:p w14:paraId="45A20651" w14:textId="1E626BD8" w:rsidR="009E33A6" w:rsidRPr="00EA378A" w:rsidRDefault="009E33A6" w:rsidP="00731B0A">
                          <w:pPr>
                            <w:spacing w:line="250" w:lineRule="exact"/>
                            <w:jc w:val="right"/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Quanex® </w:t>
                          </w:r>
                          <w:r w:rsidR="000E4B25"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>Hardware Solutions</w:t>
                          </w:r>
                        </w:p>
                        <w:p w14:paraId="42DCF533" w14:textId="77777777" w:rsidR="000E4B25" w:rsidRPr="00A16B91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Sede legale: Via Tubertini 1, 40054 Budrio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Italy  </w:t>
                          </w:r>
                        </w:p>
                        <w:p w14:paraId="31B7806B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TEL:</w:t>
                          </w:r>
                          <w:r w:rsidRPr="005E1827">
                            <w:rPr>
                              <w:color w:val="18693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</w:rPr>
                            <w:t>+39 051 8850000</w:t>
                          </w:r>
                        </w:p>
                        <w:p w14:paraId="67C64902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EMAIL:</w:t>
                          </w:r>
                          <w:r w:rsidRPr="005E182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Pr="00E03D78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info.it@quanex.com</w:t>
                            </w:r>
                          </w:hyperlink>
                        </w:p>
                        <w:p w14:paraId="3CEBBE26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AEA8B47" w14:textId="77777777" w:rsidR="000E4B25" w:rsidRPr="00D94B71" w:rsidRDefault="000E4B25" w:rsidP="000E4B25">
                          <w:pPr>
                            <w:pStyle w:val="URLCAPSSTYLE"/>
                            <w:rPr>
                              <w:color w:val="auto"/>
                            </w:rPr>
                          </w:pPr>
                          <w:r w:rsidRPr="00D94B71">
                            <w:rPr>
                              <w:color w:val="auto"/>
                            </w:rPr>
                            <w:t>QUANEX-INTERNATION</w:t>
                          </w:r>
                          <w:r>
                            <w:rPr>
                              <w:color w:val="auto"/>
                            </w:rPr>
                            <w:t>A</w:t>
                          </w:r>
                          <w:r w:rsidRPr="00D94B71">
                            <w:rPr>
                              <w:color w:val="auto"/>
                            </w:rPr>
                            <w:t>L.COM</w:t>
                          </w:r>
                        </w:p>
                        <w:p w14:paraId="6F329920" w14:textId="52EDE39B" w:rsidR="006E32FF" w:rsidRPr="00731B0A" w:rsidRDefault="000E4B25" w:rsidP="000E4B25">
                          <w:pPr>
                            <w:pStyle w:val="URLCAPSSTYLE"/>
                          </w:pPr>
                          <w:r w:rsidRPr="00731B0A">
                            <w:t>QUANEX.COM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1A9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75pt;margin-top:39pt;width:196.85pt;height:13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" filled="f" stroked="f" strokeweight=".5pt">
              <v:textbox>
                <w:txbxContent>
                  <w:p w14:paraId="071E6858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b/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b/>
                        <w:sz w:val="18"/>
                        <w:szCs w:val="18"/>
                        <w:lang w:val="it-IT"/>
                      </w:rPr>
                      <w:t>Giesse S.p.A. società con unico socio</w:t>
                    </w:r>
                  </w:p>
                  <w:p w14:paraId="45A20651" w14:textId="1E626BD8" w:rsidR="009E33A6" w:rsidRPr="00EA378A" w:rsidRDefault="009E33A6" w:rsidP="00731B0A">
                    <w:pPr>
                      <w:spacing w:line="250" w:lineRule="exact"/>
                      <w:jc w:val="right"/>
                      <w:rPr>
                        <w:bCs/>
                        <w:sz w:val="18"/>
                        <w:szCs w:val="18"/>
                        <w:lang w:val="it-IT"/>
                      </w:rPr>
                    </w:pPr>
                    <w:r w:rsidRPr="00EA378A">
                      <w:rPr>
                        <w:bCs/>
                        <w:sz w:val="18"/>
                        <w:szCs w:val="18"/>
                        <w:lang w:val="it-IT"/>
                      </w:rPr>
                      <w:t xml:space="preserve">Quanex® </w:t>
                    </w:r>
                    <w:r w:rsidR="000E4B25" w:rsidRPr="00EA378A">
                      <w:rPr>
                        <w:bCs/>
                        <w:sz w:val="18"/>
                        <w:szCs w:val="18"/>
                        <w:lang w:val="it-IT"/>
                      </w:rPr>
                      <w:t>Hardware Solutions</w:t>
                    </w:r>
                  </w:p>
                  <w:p w14:paraId="42DCF533" w14:textId="77777777" w:rsidR="000E4B25" w:rsidRPr="00A16B91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sz w:val="18"/>
                        <w:szCs w:val="18"/>
                        <w:lang w:val="it-IT"/>
                      </w:rPr>
                      <w:t>Sede legale: Via Tubertini 1, 40054 Budrio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>–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 xml:space="preserve">Italy  </w:t>
                    </w:r>
                  </w:p>
                  <w:p w14:paraId="31B7806B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TEL:</w:t>
                    </w:r>
                    <w:r w:rsidRPr="005E1827">
                      <w:rPr>
                        <w:color w:val="186937"/>
                        <w:sz w:val="18"/>
                        <w:szCs w:val="18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</w:rPr>
                      <w:t>+39 051 8850000</w:t>
                    </w:r>
                  </w:p>
                  <w:p w14:paraId="67C64902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EMAIL:</w:t>
                    </w:r>
                    <w:r w:rsidRPr="005E1827">
                      <w:rPr>
                        <w:sz w:val="18"/>
                        <w:szCs w:val="18"/>
                      </w:rPr>
                      <w:t xml:space="preserve"> </w:t>
                    </w:r>
                    <w:hyperlink r:id="rId2" w:history="1">
                      <w:r w:rsidRPr="00E03D78">
                        <w:rPr>
                          <w:rStyle w:val="Collegamentoipertestuale"/>
                          <w:sz w:val="18"/>
                          <w:szCs w:val="18"/>
                        </w:rPr>
                        <w:t>info.it@quanex.com</w:t>
                      </w:r>
                    </w:hyperlink>
                  </w:p>
                  <w:p w14:paraId="3CEBBE26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</w:p>
                  <w:p w14:paraId="3AEA8B47" w14:textId="77777777" w:rsidR="000E4B25" w:rsidRPr="00D94B71" w:rsidRDefault="000E4B25" w:rsidP="000E4B25">
                    <w:pPr>
                      <w:pStyle w:val="URLCAPSSTYLE"/>
                      <w:rPr>
                        <w:color w:val="auto"/>
                      </w:rPr>
                    </w:pPr>
                    <w:r w:rsidRPr="00D94B71">
                      <w:rPr>
                        <w:color w:val="auto"/>
                      </w:rPr>
                      <w:t>QUANEX-INTERNATION</w:t>
                    </w:r>
                    <w:r>
                      <w:rPr>
                        <w:color w:val="auto"/>
                      </w:rPr>
                      <w:t>A</w:t>
                    </w:r>
                    <w:r w:rsidRPr="00D94B71">
                      <w:rPr>
                        <w:color w:val="auto"/>
                      </w:rPr>
                      <w:t>L.COM</w:t>
                    </w:r>
                  </w:p>
                  <w:p w14:paraId="6F329920" w14:textId="52EDE39B" w:rsidR="006E32FF" w:rsidRPr="00731B0A" w:rsidRDefault="000E4B25" w:rsidP="000E4B25">
                    <w:pPr>
                      <w:pStyle w:val="URLCAPSSTYLE"/>
                    </w:pPr>
                    <w:r w:rsidRPr="00731B0A">
                      <w:t>QUANEX.COM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1" layoutInCell="1" allowOverlap="1" wp14:anchorId="7EC8E50C" wp14:editId="68066115">
          <wp:simplePos x="0" y="0"/>
          <wp:positionH relativeFrom="column">
            <wp:posOffset>-817880</wp:posOffset>
          </wp:positionH>
          <wp:positionV relativeFrom="page">
            <wp:posOffset>114300</wp:posOffset>
          </wp:positionV>
          <wp:extent cx="2468880" cy="1344168"/>
          <wp:effectExtent l="0" t="0" r="0" b="0"/>
          <wp:wrapNone/>
          <wp:docPr id="356815619" name="Picture 113348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1344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043"/>
    <w:multiLevelType w:val="hybridMultilevel"/>
    <w:tmpl w:val="3680280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D038A"/>
    <w:multiLevelType w:val="hybridMultilevel"/>
    <w:tmpl w:val="E7901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809E0"/>
    <w:multiLevelType w:val="hybridMultilevel"/>
    <w:tmpl w:val="2F46E95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D69EF"/>
    <w:multiLevelType w:val="hybridMultilevel"/>
    <w:tmpl w:val="988832CE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D2E85"/>
    <w:multiLevelType w:val="hybridMultilevel"/>
    <w:tmpl w:val="98B4B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E55B5"/>
    <w:multiLevelType w:val="hybridMultilevel"/>
    <w:tmpl w:val="676AE2F2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852639">
    <w:abstractNumId w:val="4"/>
  </w:num>
  <w:num w:numId="2" w16cid:durableId="482086253">
    <w:abstractNumId w:val="1"/>
  </w:num>
  <w:num w:numId="3" w16cid:durableId="970596562">
    <w:abstractNumId w:val="5"/>
  </w:num>
  <w:num w:numId="4" w16cid:durableId="733898273">
    <w:abstractNumId w:val="3"/>
  </w:num>
  <w:num w:numId="5" w16cid:durableId="911890916">
    <w:abstractNumId w:val="2"/>
  </w:num>
  <w:num w:numId="6" w16cid:durableId="175735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6"/>
    <w:rsid w:val="000060FF"/>
    <w:rsid w:val="0005123D"/>
    <w:rsid w:val="0005392B"/>
    <w:rsid w:val="00065C63"/>
    <w:rsid w:val="000800F9"/>
    <w:rsid w:val="00080EC7"/>
    <w:rsid w:val="00097932"/>
    <w:rsid w:val="000E4B25"/>
    <w:rsid w:val="001115F3"/>
    <w:rsid w:val="00114480"/>
    <w:rsid w:val="001540FB"/>
    <w:rsid w:val="001811B6"/>
    <w:rsid w:val="001866B3"/>
    <w:rsid w:val="001F5EBE"/>
    <w:rsid w:val="00220BC5"/>
    <w:rsid w:val="002A4AD5"/>
    <w:rsid w:val="00321831"/>
    <w:rsid w:val="0036434B"/>
    <w:rsid w:val="00387A08"/>
    <w:rsid w:val="00453F3E"/>
    <w:rsid w:val="0045649E"/>
    <w:rsid w:val="004F0624"/>
    <w:rsid w:val="004F3996"/>
    <w:rsid w:val="0050429F"/>
    <w:rsid w:val="00514474"/>
    <w:rsid w:val="00522513"/>
    <w:rsid w:val="00532EEC"/>
    <w:rsid w:val="0054724B"/>
    <w:rsid w:val="005E3FC8"/>
    <w:rsid w:val="00672970"/>
    <w:rsid w:val="00691C60"/>
    <w:rsid w:val="006A5F40"/>
    <w:rsid w:val="006E32FF"/>
    <w:rsid w:val="007063EE"/>
    <w:rsid w:val="00714612"/>
    <w:rsid w:val="007221FB"/>
    <w:rsid w:val="00731B0A"/>
    <w:rsid w:val="00765157"/>
    <w:rsid w:val="007A0C4F"/>
    <w:rsid w:val="007F63E0"/>
    <w:rsid w:val="0085379A"/>
    <w:rsid w:val="00855B5F"/>
    <w:rsid w:val="008913BC"/>
    <w:rsid w:val="009403DC"/>
    <w:rsid w:val="00946786"/>
    <w:rsid w:val="00986BD9"/>
    <w:rsid w:val="009E33A6"/>
    <w:rsid w:val="00A46D62"/>
    <w:rsid w:val="00A8560B"/>
    <w:rsid w:val="00A92AAD"/>
    <w:rsid w:val="00AC1C8D"/>
    <w:rsid w:val="00AC7DE9"/>
    <w:rsid w:val="00B301DC"/>
    <w:rsid w:val="00BF638B"/>
    <w:rsid w:val="00C017C2"/>
    <w:rsid w:val="00C23597"/>
    <w:rsid w:val="00C36664"/>
    <w:rsid w:val="00C813B6"/>
    <w:rsid w:val="00CF4CB6"/>
    <w:rsid w:val="00CF4ECB"/>
    <w:rsid w:val="00D3221B"/>
    <w:rsid w:val="00D450FB"/>
    <w:rsid w:val="00DA65ED"/>
    <w:rsid w:val="00DA66F5"/>
    <w:rsid w:val="00DB0C31"/>
    <w:rsid w:val="00E0676D"/>
    <w:rsid w:val="00E92550"/>
    <w:rsid w:val="00EA378A"/>
    <w:rsid w:val="00FA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3258"/>
  <w14:defaultImageDpi w14:val="32767"/>
  <w15:chartTrackingRefBased/>
  <w15:docId w15:val="{8AA0FA3D-98BB-7D4D-81E2-6E3FB6A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aliases w:val="Quanex Letterhead Copy"/>
    <w:qFormat/>
    <w:rsid w:val="008913BC"/>
    <w:pPr>
      <w:spacing w:line="240" w:lineRule="exact"/>
    </w:pPr>
    <w:rPr>
      <w:rFonts w:eastAsiaTheme="minorEastAsia"/>
      <w:sz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6D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6D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946786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786"/>
  </w:style>
  <w:style w:type="character" w:styleId="Numeropagina">
    <w:name w:val="page number"/>
    <w:basedOn w:val="Carpredefinitoparagrafo"/>
    <w:uiPriority w:val="99"/>
    <w:semiHidden/>
    <w:unhideWhenUsed/>
    <w:rsid w:val="00855B5F"/>
  </w:style>
  <w:style w:type="paragraph" w:customStyle="1" w:styleId="URLCAPSSTYLE">
    <w:name w:val="URL CAPS STYLE"/>
    <w:qFormat/>
    <w:rsid w:val="00731B0A"/>
    <w:pPr>
      <w:spacing w:line="240" w:lineRule="exact"/>
      <w:jc w:val="right"/>
    </w:pPr>
    <w:rPr>
      <w:rFonts w:cs="Times New Roman (Body CS)"/>
      <w:b/>
      <w:color w:val="186937"/>
      <w:spacing w:val="24"/>
      <w:kern w:val="18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714612"/>
    <w:pPr>
      <w:tabs>
        <w:tab w:val="center" w:pos="4680"/>
        <w:tab w:val="right" w:pos="9360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61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E4B2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540FB"/>
    <w:pPr>
      <w:ind w:left="720"/>
      <w:contextualSpacing/>
    </w:pPr>
  </w:style>
  <w:style w:type="paragraph" w:styleId="Revisione">
    <w:name w:val="Revision"/>
    <w:hidden/>
    <w:uiPriority w:val="99"/>
    <w:semiHidden/>
    <w:rsid w:val="0005392B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info.it@quanex.com" TargetMode="External"/><Relationship Id="rId1" Type="http://schemas.openxmlformats.org/officeDocument/2006/relationships/hyperlink" Target="mailto:info.it@quan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Dore</cp:lastModifiedBy>
  <cp:revision>3</cp:revision>
  <dcterms:created xsi:type="dcterms:W3CDTF">2025-05-13T12:39:00Z</dcterms:created>
  <dcterms:modified xsi:type="dcterms:W3CDTF">2025-05-13T12:45:00Z</dcterms:modified>
</cp:coreProperties>
</file>