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4540B" w14:textId="3AFDBE4B" w:rsidR="00065C63" w:rsidRPr="00946786" w:rsidRDefault="00065C63" w:rsidP="007063EE"/>
    <w:p w14:paraId="4EFE9126" w14:textId="23F2E131" w:rsidR="00946786" w:rsidRPr="00946786" w:rsidRDefault="00946786" w:rsidP="007063EE"/>
    <w:p w14:paraId="58CF93D6" w14:textId="3DB46A30" w:rsidR="00946786" w:rsidRPr="00946786" w:rsidRDefault="00946786" w:rsidP="007063EE"/>
    <w:p w14:paraId="3DA27458" w14:textId="77209FAE" w:rsidR="00946786" w:rsidRPr="00946786" w:rsidRDefault="00946786" w:rsidP="007063EE"/>
    <w:p w14:paraId="1EF4BC26" w14:textId="3DB0786D" w:rsidR="00946786" w:rsidRDefault="00946786" w:rsidP="007063EE">
      <w:pPr>
        <w:rPr>
          <w:rFonts w:eastAsia="Times New Roman"/>
          <w:color w:val="222222"/>
          <w:szCs w:val="20"/>
        </w:rPr>
      </w:pPr>
    </w:p>
    <w:p w14:paraId="3801521B" w14:textId="6687C439" w:rsidR="00946786" w:rsidRDefault="00946786" w:rsidP="007063EE">
      <w:pPr>
        <w:rPr>
          <w:rFonts w:eastAsia="Times New Roman"/>
          <w:color w:val="222222"/>
          <w:szCs w:val="20"/>
        </w:rPr>
      </w:pPr>
    </w:p>
    <w:p w14:paraId="41DF2FC9" w14:textId="3117B470" w:rsidR="00946786" w:rsidRDefault="00946786" w:rsidP="007063EE">
      <w:pPr>
        <w:rPr>
          <w:rFonts w:eastAsia="Times New Roman"/>
          <w:color w:val="222222"/>
          <w:szCs w:val="20"/>
        </w:rPr>
      </w:pPr>
    </w:p>
    <w:p w14:paraId="311E95C7" w14:textId="613B991F" w:rsidR="0054724B" w:rsidRPr="00AD29FA" w:rsidRDefault="00AD29FA" w:rsidP="0054724B">
      <w:pPr>
        <w:rPr>
          <w:rFonts w:eastAsia="Times New Roman"/>
          <w:color w:val="222222"/>
          <w:szCs w:val="20"/>
          <w:lang w:val="de-DE"/>
        </w:rPr>
      </w:pPr>
      <w:r>
        <w:rPr>
          <w:rFonts w:eastAsia="Times New Roman"/>
          <w:b/>
          <w:bCs/>
          <w:color w:val="222222"/>
          <w:sz w:val="24"/>
          <w:lang w:val="de-DE"/>
        </w:rPr>
        <w:t>Teil vo</w:t>
      </w:r>
      <w:r w:rsidR="00672546">
        <w:rPr>
          <w:rFonts w:eastAsia="Times New Roman"/>
          <w:b/>
          <w:bCs/>
          <w:color w:val="222222"/>
          <w:sz w:val="24"/>
          <w:lang w:val="de-DE"/>
        </w:rPr>
        <w:t>n</w:t>
      </w:r>
      <w:r>
        <w:rPr>
          <w:rFonts w:eastAsia="Times New Roman"/>
          <w:b/>
          <w:bCs/>
          <w:color w:val="222222"/>
          <w:sz w:val="24"/>
          <w:lang w:val="de-DE"/>
        </w:rPr>
        <w:t xml:space="preserve"> etwas G</w:t>
      </w:r>
      <w:r w:rsidRPr="00AD29FA">
        <w:rPr>
          <w:rFonts w:eastAsia="Times New Roman"/>
          <w:b/>
          <w:bCs/>
          <w:color w:val="222222"/>
          <w:sz w:val="24"/>
          <w:lang w:val="de-DE"/>
        </w:rPr>
        <w:t>rößerem</w:t>
      </w:r>
    </w:p>
    <w:p w14:paraId="4007F18F" w14:textId="77777777" w:rsidR="00C23597" w:rsidRPr="00AD29FA" w:rsidRDefault="00C23597" w:rsidP="00C23597">
      <w:pPr>
        <w:rPr>
          <w:rFonts w:eastAsia="Times New Roman"/>
          <w:color w:val="222222"/>
          <w:szCs w:val="20"/>
          <w:lang w:val="de-DE"/>
        </w:rPr>
      </w:pPr>
    </w:p>
    <w:p w14:paraId="1AB5A391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 xml:space="preserve">Quanex (NYSE: NX) ist ein globales Produktionsunternehmen, das 1927 gegründet wurde und an der Wall Street börsennotiert ist. Es beliefert Erstausrüster mit hochwertigen Baukomponenten. </w:t>
      </w:r>
    </w:p>
    <w:p w14:paraId="4550C273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</w:p>
    <w:p w14:paraId="46408846" w14:textId="163CD9C9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Mit Hauptsitz in Houston, TX, mehr als 60 Standorten und 7.000 Mitarbeitern weltweit</w:t>
      </w:r>
      <w:r w:rsidR="00EF28F7">
        <w:rPr>
          <w:rFonts w:eastAsia="Times New Roman"/>
          <w:color w:val="222222"/>
          <w:szCs w:val="20"/>
          <w:lang w:val="de-DE"/>
        </w:rPr>
        <w:t>,</w:t>
      </w:r>
      <w:r w:rsidRPr="00AD29FA">
        <w:rPr>
          <w:rFonts w:eastAsia="Times New Roman"/>
          <w:color w:val="222222"/>
          <w:szCs w:val="20"/>
          <w:lang w:val="de-DE"/>
        </w:rPr>
        <w:t xml:space="preserve"> ist </w:t>
      </w:r>
      <w:proofErr w:type="spellStart"/>
      <w:r w:rsidRPr="00AD29FA">
        <w:rPr>
          <w:rFonts w:eastAsia="Times New Roman"/>
          <w:color w:val="222222"/>
          <w:szCs w:val="20"/>
          <w:lang w:val="de-DE"/>
        </w:rPr>
        <w:t>Quanex</w:t>
      </w:r>
      <w:proofErr w:type="spellEnd"/>
      <w:r w:rsidRPr="00AD29FA">
        <w:rPr>
          <w:rFonts w:eastAsia="Times New Roman"/>
          <w:color w:val="222222"/>
          <w:szCs w:val="20"/>
          <w:lang w:val="de-DE"/>
        </w:rPr>
        <w:t xml:space="preserve"> ein multinationales Unternehmen, das in mehr als 90 Märkten mit der Herstellung von Fensterzubehör, Holzverkleidungen, PVC-Extrusionen, speziellen Zugangslösungen und Solarpanelen vertreten ist.</w:t>
      </w:r>
    </w:p>
    <w:p w14:paraId="34B8BEBF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</w:p>
    <w:p w14:paraId="2E7A6CA5" w14:textId="377BB894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Im Jahr 2024 übernahm Quanex die Firma Tyman und erreichte damit einen Umsatz von 2 Milliarden, mit dem Ziel, der führende Anbieter von Lösungen für die Fenster- und Türenindustrie zu werden. Mit einem erweiterten Markenportfolio, gestärkten Design-Innovationsfähigkeiten und einer diversifizierten geografischen Präsenz</w:t>
      </w:r>
      <w:r w:rsidR="00EF28F7">
        <w:rPr>
          <w:rFonts w:eastAsia="Times New Roman"/>
          <w:color w:val="222222"/>
          <w:szCs w:val="20"/>
          <w:lang w:val="de-DE"/>
        </w:rPr>
        <w:t>,</w:t>
      </w:r>
      <w:r w:rsidRPr="00AD29FA">
        <w:rPr>
          <w:rFonts w:eastAsia="Times New Roman"/>
          <w:color w:val="222222"/>
          <w:szCs w:val="20"/>
          <w:lang w:val="de-DE"/>
        </w:rPr>
        <w:t xml:space="preserve"> positioniert sich </w:t>
      </w:r>
      <w:proofErr w:type="spellStart"/>
      <w:r w:rsidRPr="00AD29FA">
        <w:rPr>
          <w:rFonts w:eastAsia="Times New Roman"/>
          <w:color w:val="222222"/>
          <w:szCs w:val="20"/>
          <w:lang w:val="de-DE"/>
        </w:rPr>
        <w:t>Quanex</w:t>
      </w:r>
      <w:proofErr w:type="spellEnd"/>
      <w:r w:rsidRPr="00AD29FA">
        <w:rPr>
          <w:rFonts w:eastAsia="Times New Roman"/>
          <w:color w:val="222222"/>
          <w:szCs w:val="20"/>
          <w:lang w:val="de-DE"/>
        </w:rPr>
        <w:t xml:space="preserve"> als ein führendes globales Produktionsunternehmen.</w:t>
      </w:r>
    </w:p>
    <w:p w14:paraId="29A6C5D1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</w:p>
    <w:p w14:paraId="7DFFAE86" w14:textId="0461A1FE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 xml:space="preserve">Von der Skyline Dubais bis hin zu Wohnhäusern hat sich </w:t>
      </w:r>
      <w:proofErr w:type="spellStart"/>
      <w:r w:rsidR="00EF28F7" w:rsidRPr="00EF28F7">
        <w:rPr>
          <w:rFonts w:eastAsia="Times New Roman"/>
          <w:color w:val="222222"/>
          <w:szCs w:val="20"/>
          <w:lang w:val="de-DE"/>
        </w:rPr>
        <w:t>Quanex</w:t>
      </w:r>
      <w:proofErr w:type="spellEnd"/>
      <w:r w:rsidR="00EF28F7" w:rsidRPr="00EF28F7">
        <w:rPr>
          <w:rFonts w:eastAsia="Times New Roman"/>
          <w:color w:val="222222"/>
          <w:szCs w:val="20"/>
          <w:lang w:val="de-DE"/>
        </w:rPr>
        <w:t xml:space="preserve"> verpflichtet</w:t>
      </w:r>
      <w:r w:rsidR="00EF28F7" w:rsidRPr="00EF28F7">
        <w:rPr>
          <w:rFonts w:eastAsia="Times New Roman"/>
          <w:color w:val="222222"/>
          <w:szCs w:val="20"/>
          <w:lang w:val="de-DE"/>
        </w:rPr>
        <w:t xml:space="preserve"> </w:t>
      </w:r>
      <w:r w:rsidR="00EF28F7" w:rsidRPr="00EF28F7">
        <w:rPr>
          <w:rFonts w:eastAsia="Times New Roman"/>
          <w:color w:val="222222"/>
          <w:szCs w:val="20"/>
          <w:lang w:val="de-DE"/>
        </w:rPr>
        <w:t>die Leistung, Nachhaltigkeit</w:t>
      </w:r>
      <w:r w:rsidR="00EF28F7" w:rsidRPr="00EF28F7">
        <w:rPr>
          <w:rFonts w:eastAsia="Times New Roman"/>
          <w:color w:val="222222"/>
          <w:szCs w:val="20"/>
          <w:lang w:val="de-DE"/>
        </w:rPr>
        <w:t xml:space="preserve"> </w:t>
      </w:r>
      <w:r w:rsidRPr="00AD29FA">
        <w:rPr>
          <w:rFonts w:eastAsia="Times New Roman"/>
          <w:color w:val="222222"/>
          <w:szCs w:val="20"/>
          <w:lang w:val="de-DE"/>
        </w:rPr>
        <w:t>und Ästhetik von Produkten und Lösungen durch kontinuierliche Innovation zu verbessern und Kunden zu helfen, eine höhere Fertigungseffizienz zu erreichen.</w:t>
      </w:r>
    </w:p>
    <w:p w14:paraId="54D75572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</w:p>
    <w:p w14:paraId="63F5DF89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 xml:space="preserve">Quanex ist mehr als nur ein Lieferant: Das Unternehmen ist stolz darauf, ein integraler Bestandteil der Arbeit und der fertigen Produkte seiner Partner zu sein. </w:t>
      </w:r>
    </w:p>
    <w:p w14:paraId="6A8D84E6" w14:textId="77777777" w:rsidR="00AD29FA" w:rsidRPr="00AD29FA" w:rsidRDefault="00AD29FA" w:rsidP="00AD29FA">
      <w:pPr>
        <w:rPr>
          <w:rFonts w:eastAsia="Times New Roman"/>
          <w:color w:val="222222"/>
          <w:szCs w:val="20"/>
          <w:lang w:val="de-DE"/>
        </w:rPr>
      </w:pPr>
    </w:p>
    <w:p w14:paraId="28FF7C75" w14:textId="77A8F07F" w:rsidR="001540FB" w:rsidRPr="00AD29FA" w:rsidRDefault="001540FB" w:rsidP="00C23597">
      <w:pPr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---</w:t>
      </w:r>
    </w:p>
    <w:p w14:paraId="4244FB5D" w14:textId="77777777" w:rsidR="001540FB" w:rsidRPr="00AD29FA" w:rsidRDefault="001540FB" w:rsidP="007063EE">
      <w:pPr>
        <w:rPr>
          <w:rFonts w:eastAsia="Times New Roman"/>
          <w:color w:val="222222"/>
          <w:szCs w:val="20"/>
          <w:lang w:val="de-DE"/>
        </w:rPr>
      </w:pPr>
    </w:p>
    <w:p w14:paraId="22782C8F" w14:textId="59B97B65" w:rsidR="00C23597" w:rsidRDefault="00AD29FA" w:rsidP="00C23597">
      <w:pPr>
        <w:tabs>
          <w:tab w:val="left" w:pos="5080"/>
        </w:tabs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Die Lösungen im Quanex-Portfolio umfassen:</w:t>
      </w:r>
    </w:p>
    <w:p w14:paraId="471264D0" w14:textId="77777777" w:rsidR="00AD29FA" w:rsidRPr="00AD29FA" w:rsidRDefault="00AD29FA" w:rsidP="00C23597">
      <w:pPr>
        <w:tabs>
          <w:tab w:val="left" w:pos="5080"/>
        </w:tabs>
        <w:rPr>
          <w:rFonts w:eastAsia="Times New Roman"/>
          <w:color w:val="222222"/>
          <w:szCs w:val="20"/>
          <w:lang w:val="de-DE"/>
        </w:rPr>
      </w:pPr>
    </w:p>
    <w:p w14:paraId="15D64349" w14:textId="77777777" w:rsidR="00AD29FA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Hochwertiges Zubehör für Aluminiumfenster und -türen</w:t>
      </w:r>
    </w:p>
    <w:p w14:paraId="57E001BD" w14:textId="77777777" w:rsidR="00AD29FA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Designgriffe und Zubehör für Fenster und Türen</w:t>
      </w:r>
    </w:p>
    <w:p w14:paraId="47AF8EAB" w14:textId="77777777" w:rsidR="00AD29FA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Hochwertige Dichtungen und Dichtungssysteme</w:t>
      </w:r>
    </w:p>
    <w:p w14:paraId="2A9C7919" w14:textId="77777777" w:rsidR="00AD29FA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Isolierglas-Abstandhaltersysteme</w:t>
      </w:r>
    </w:p>
    <w:p w14:paraId="39A927C6" w14:textId="7B0FDCF4" w:rsid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Spezielle Zugangs- und Sicherheitsprodukte und</w:t>
      </w:r>
      <w:r>
        <w:rPr>
          <w:rFonts w:eastAsia="Times New Roman"/>
          <w:color w:val="222222"/>
          <w:szCs w:val="20"/>
          <w:lang w:val="de-DE"/>
        </w:rPr>
        <w:t xml:space="preserve"> </w:t>
      </w:r>
      <w:r w:rsidRPr="00AD29FA">
        <w:rPr>
          <w:rFonts w:eastAsia="Times New Roman"/>
          <w:color w:val="222222"/>
          <w:szCs w:val="20"/>
          <w:lang w:val="de-DE"/>
        </w:rPr>
        <w:t>Sicherheitsbeschlagsysteme</w:t>
      </w:r>
    </w:p>
    <w:p w14:paraId="18188918" w14:textId="20821695" w:rsidR="00AD29FA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Intelligente Alarmanlagen, Kameras und Sicherheitssysteme</w:t>
      </w:r>
    </w:p>
    <w:p w14:paraId="00501CAA" w14:textId="77777777" w:rsidR="00AD29FA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Fenster- und Türprofile aus Vinyl</w:t>
      </w:r>
    </w:p>
    <w:p w14:paraId="734D8768" w14:textId="7E306858" w:rsidR="00946786" w:rsidRPr="00AD29FA" w:rsidRDefault="00AD29FA" w:rsidP="00AD29FA">
      <w:pPr>
        <w:tabs>
          <w:tab w:val="left" w:pos="5080"/>
        </w:tabs>
        <w:ind w:left="720"/>
        <w:rPr>
          <w:rFonts w:eastAsia="Times New Roman"/>
          <w:color w:val="222222"/>
          <w:szCs w:val="20"/>
          <w:lang w:val="de-DE"/>
        </w:rPr>
      </w:pPr>
      <w:r w:rsidRPr="00AD29FA">
        <w:rPr>
          <w:rFonts w:eastAsia="Times New Roman"/>
          <w:color w:val="222222"/>
          <w:szCs w:val="20"/>
          <w:lang w:val="de-DE"/>
        </w:rPr>
        <w:t>Maßgefertigte Fenstergitter, Zierelemente,</w:t>
      </w:r>
      <w:r>
        <w:rPr>
          <w:rFonts w:eastAsia="Times New Roman"/>
          <w:color w:val="222222"/>
          <w:szCs w:val="20"/>
          <w:lang w:val="de-DE"/>
        </w:rPr>
        <w:t xml:space="preserve"> </w:t>
      </w:r>
      <w:r w:rsidRPr="00AD29FA">
        <w:rPr>
          <w:rFonts w:eastAsia="Times New Roman"/>
          <w:color w:val="222222"/>
          <w:szCs w:val="20"/>
          <w:lang w:val="de-DE"/>
        </w:rPr>
        <w:t>Holzarbeiten und architektonische Stuckarbeiten</w:t>
      </w:r>
      <w:r w:rsidRPr="00AD29FA">
        <w:rPr>
          <w:rFonts w:eastAsia="Times New Roman"/>
          <w:color w:val="222222"/>
          <w:szCs w:val="20"/>
          <w:lang w:val="de-DE"/>
        </w:rPr>
        <w:tab/>
      </w:r>
      <w:r w:rsidR="00FA7410" w:rsidRPr="00AD29FA">
        <w:rPr>
          <w:rFonts w:eastAsia="Times New Roman"/>
          <w:color w:val="222222"/>
          <w:szCs w:val="20"/>
          <w:lang w:val="de-DE"/>
        </w:rPr>
        <w:tab/>
      </w:r>
    </w:p>
    <w:p w14:paraId="44092C5F" w14:textId="69B32BCA" w:rsidR="00DA65ED" w:rsidRPr="00AD29FA" w:rsidRDefault="00DA65ED" w:rsidP="0050429F">
      <w:pPr>
        <w:rPr>
          <w:rFonts w:eastAsia="Times New Roman"/>
          <w:i/>
          <w:color w:val="222222"/>
          <w:szCs w:val="20"/>
          <w:lang w:val="de-DE"/>
        </w:rPr>
      </w:pPr>
    </w:p>
    <w:p w14:paraId="7FED20F5" w14:textId="3A927FDC" w:rsidR="00DA65ED" w:rsidRPr="00AD29FA" w:rsidRDefault="00DA65ED" w:rsidP="0050429F">
      <w:pPr>
        <w:rPr>
          <w:rFonts w:eastAsia="Times New Roman"/>
          <w:i/>
          <w:color w:val="222222"/>
          <w:szCs w:val="20"/>
          <w:lang w:val="de-DE"/>
        </w:rPr>
      </w:pPr>
    </w:p>
    <w:p w14:paraId="476BCF33" w14:textId="358DE448" w:rsidR="00D450FB" w:rsidRPr="00AD29FA" w:rsidRDefault="00D450FB" w:rsidP="0050429F">
      <w:pPr>
        <w:rPr>
          <w:lang w:val="de-DE"/>
        </w:rPr>
      </w:pPr>
    </w:p>
    <w:p w14:paraId="1A7F6064" w14:textId="312C3868" w:rsidR="00D450FB" w:rsidRPr="00AD29FA" w:rsidRDefault="00D450FB" w:rsidP="0050429F">
      <w:pPr>
        <w:rPr>
          <w:lang w:val="de-DE"/>
        </w:rPr>
      </w:pPr>
    </w:p>
    <w:p w14:paraId="082DA27A" w14:textId="0AA6814D" w:rsidR="00D450FB" w:rsidRPr="00AD29FA" w:rsidRDefault="00D450FB" w:rsidP="0050429F">
      <w:pPr>
        <w:rPr>
          <w:lang w:val="de-DE"/>
        </w:rPr>
      </w:pPr>
    </w:p>
    <w:p w14:paraId="09DA7C40" w14:textId="4B7B724E" w:rsidR="00D450FB" w:rsidRPr="00AD29FA" w:rsidRDefault="00DA65ED" w:rsidP="0050429F">
      <w:pPr>
        <w:rPr>
          <w:lang w:val="de-DE"/>
        </w:rPr>
      </w:pPr>
      <w:r w:rsidRPr="00AD29FA">
        <w:rPr>
          <w:lang w:val="de-DE"/>
        </w:rPr>
        <w:t xml:space="preserve">  </w:t>
      </w:r>
    </w:p>
    <w:sectPr w:rsidR="00D450FB" w:rsidRPr="00AD29FA" w:rsidSect="0054724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843" w:right="1440" w:bottom="2347" w:left="144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7E8A0" w14:textId="77777777" w:rsidR="00765157" w:rsidRDefault="00765157" w:rsidP="00946786">
      <w:pPr>
        <w:spacing w:line="240" w:lineRule="auto"/>
      </w:pPr>
      <w:r>
        <w:separator/>
      </w:r>
    </w:p>
  </w:endnote>
  <w:endnote w:type="continuationSeparator" w:id="0">
    <w:p w14:paraId="34177AD9" w14:textId="77777777" w:rsidR="00765157" w:rsidRDefault="00765157" w:rsidP="00946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76549395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4AA533E" w14:textId="0BC8E24A" w:rsidR="00855B5F" w:rsidRDefault="00855B5F" w:rsidP="00BE781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8CB9B4" w14:textId="77777777" w:rsidR="00855B5F" w:rsidRDefault="00855B5F" w:rsidP="00855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82880" w14:textId="71798589" w:rsidR="00855B5F" w:rsidRDefault="00BF638B" w:rsidP="00855B5F">
    <w:pPr>
      <w:ind w:right="-63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303CE60B" wp14:editId="58F3A7CB">
              <wp:simplePos x="0" y="0"/>
              <wp:positionH relativeFrom="column">
                <wp:posOffset>-238125</wp:posOffset>
              </wp:positionH>
              <wp:positionV relativeFrom="page">
                <wp:posOffset>9372600</wp:posOffset>
              </wp:positionV>
              <wp:extent cx="5181600" cy="904875"/>
              <wp:effectExtent l="0" t="0" r="0" b="0"/>
              <wp:wrapNone/>
              <wp:docPr id="187074895" name="Text Box 1870748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0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F85F7F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24744D86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1CCEE4F9" w14:textId="77777777" w:rsidR="00EA378A" w:rsidRDefault="00EA378A" w:rsidP="00EA378A">
                          <w:pPr>
                            <w:spacing w:line="240" w:lineRule="auto"/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EA378A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>
                            <w:t xml:space="preserve"> </w:t>
                          </w:r>
                        </w:p>
                        <w:p w14:paraId="4832EF63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145B7281" w14:textId="46E5A29E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2994024E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7EAB1CE8" w14:textId="1F573172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3CE60B" id="_x0000_t202" coordsize="21600,21600" o:spt="202" path="m,l,21600r21600,l21600,xe">
              <v:stroke joinstyle="miter"/>
              <v:path gradientshapeok="t" o:connecttype="rect"/>
            </v:shapetype>
            <v:shape id="Text Box 187074895" o:spid="_x0000_s1026" type="#_x0000_t202" style="position:absolute;left:0;text-align:left;margin-left:-18.75pt;margin-top:738pt;width:408pt;height:7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" filled="f" stroked="f" strokeweight=".5pt">
              <v:textbox>
                <w:txbxContent>
                  <w:p w14:paraId="05F85F7F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24744D86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1CCEE4F9" w14:textId="77777777" w:rsidR="00EA378A" w:rsidRDefault="00EA378A" w:rsidP="00EA378A">
                    <w:pPr>
                      <w:spacing w:line="240" w:lineRule="auto"/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EA378A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>
                      <w:t xml:space="preserve"> </w:t>
                    </w:r>
                  </w:p>
                  <w:p w14:paraId="4832EF63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145B7281" w14:textId="46E5A29E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2994024E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7EAB1CE8" w14:textId="1F573172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69406C51" w14:textId="7D1032CB" w:rsidR="004F3996" w:rsidRPr="00855B5F" w:rsidRDefault="004F3996" w:rsidP="00855B5F">
    <w:pPr>
      <w:ind w:right="-630"/>
      <w:jc w:val="right"/>
      <w:rPr>
        <w:rFonts w:ascii="Calibri" w:hAnsi="Calibri" w:cs="Calibri"/>
        <w:sz w:val="16"/>
        <w:szCs w:val="16"/>
      </w:rPr>
    </w:pPr>
  </w:p>
  <w:p w14:paraId="757A6C86" w14:textId="76FA6D2B" w:rsidR="00DA65ED" w:rsidRDefault="00DA65ED" w:rsidP="00855B5F">
    <w:pPr>
      <w:rPr>
        <w:rFonts w:ascii="Calibri" w:hAnsi="Calibri" w:cs="Calibri"/>
        <w:sz w:val="16"/>
        <w:szCs w:val="16"/>
      </w:rPr>
    </w:pPr>
  </w:p>
  <w:p w14:paraId="4B8173DB" w14:textId="7589E7FA" w:rsidR="004F3996" w:rsidRDefault="004F3996" w:rsidP="00855B5F">
    <w:pPr>
      <w:rPr>
        <w:rFonts w:ascii="Calibri" w:hAnsi="Calibri" w:cs="Calibri"/>
        <w:sz w:val="16"/>
        <w:szCs w:val="16"/>
      </w:rPr>
    </w:pPr>
  </w:p>
  <w:p w14:paraId="0FE9582A" w14:textId="4D41506F" w:rsidR="00DA65ED" w:rsidRDefault="00DA65ED" w:rsidP="00855B5F">
    <w:pPr>
      <w:rPr>
        <w:rFonts w:ascii="Calibri" w:hAnsi="Calibri" w:cs="Calibri"/>
        <w:sz w:val="16"/>
        <w:szCs w:val="16"/>
      </w:rPr>
    </w:pPr>
  </w:p>
  <w:p w14:paraId="4576D364" w14:textId="45399C3E" w:rsidR="00DA65ED" w:rsidRPr="00855B5F" w:rsidRDefault="004F3996" w:rsidP="004F3996">
    <w:pPr>
      <w:tabs>
        <w:tab w:val="left" w:pos="7622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14516" w14:textId="43999ABC" w:rsidR="00731B0A" w:rsidRDefault="00BF638B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138569D" wp14:editId="66529AD6">
              <wp:simplePos x="0" y="0"/>
              <wp:positionH relativeFrom="column">
                <wp:posOffset>-247650</wp:posOffset>
              </wp:positionH>
              <wp:positionV relativeFrom="page">
                <wp:posOffset>9372600</wp:posOffset>
              </wp:positionV>
              <wp:extent cx="5349240" cy="952500"/>
              <wp:effectExtent l="0" t="0" r="0" b="0"/>
              <wp:wrapNone/>
              <wp:docPr id="1043501115" name="Text Box 1043501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9240" cy="952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993AB4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6C6DBEDD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49401C52" w14:textId="5A418A72" w:rsidR="000E4B25" w:rsidRDefault="000E4B25" w:rsidP="000E4B25">
                          <w:pPr>
                            <w:spacing w:line="240" w:lineRule="auto"/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BF638B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 w:rsidR="00EA378A">
                            <w:t xml:space="preserve"> </w:t>
                          </w:r>
                        </w:p>
                        <w:p w14:paraId="3B8B4F54" w14:textId="77777777" w:rsidR="000E4B25" w:rsidRPr="00BF638B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2899AC0C" w14:textId="757065A3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6A6F25AD" w14:textId="77777777" w:rsidR="000E4B25" w:rsidRPr="00EA378A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00CC4B9D" w14:textId="502E344C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38569D" id="_x0000_t202" coordsize="21600,21600" o:spt="202" path="m,l,21600r21600,l21600,xe">
              <v:stroke joinstyle="miter"/>
              <v:path gradientshapeok="t" o:connecttype="rect"/>
            </v:shapetype>
            <v:shape id="Text Box 1043501115" o:spid="_x0000_s1028" type="#_x0000_t202" style="position:absolute;left:0;text-align:left;margin-left:-19.5pt;margin-top:738pt;width:421.2pt;height: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" filled="f" stroked="f" strokeweight=".5pt">
              <v:textbox>
                <w:txbxContent>
                  <w:p w14:paraId="17993AB4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6C6DBEDD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49401C52" w14:textId="5A418A72" w:rsidR="000E4B25" w:rsidRDefault="000E4B25" w:rsidP="000E4B25">
                    <w:pPr>
                      <w:spacing w:line="240" w:lineRule="auto"/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BF638B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 w:rsidR="00EA378A">
                      <w:t xml:space="preserve"> </w:t>
                    </w:r>
                  </w:p>
                  <w:p w14:paraId="3B8B4F54" w14:textId="77777777" w:rsidR="000E4B25" w:rsidRPr="00BF638B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2899AC0C" w14:textId="757065A3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6A6F25AD" w14:textId="77777777" w:rsidR="000E4B25" w:rsidRPr="00EA378A" w:rsidRDefault="000E4B25" w:rsidP="000E4B25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00CC4B9D" w14:textId="502E344C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3BB53CF2" w14:textId="16C94CF2" w:rsidR="004F3996" w:rsidRDefault="004F3996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</w:p>
  <w:p w14:paraId="7BB12F00" w14:textId="039B6F87" w:rsidR="009E33A6" w:rsidRDefault="009E33A6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  <w:p w14:paraId="47FB5FB8" w14:textId="569D8D46" w:rsidR="00FA7410" w:rsidRDefault="00FA7410" w:rsidP="00FA7410">
    <w:pPr>
      <w:tabs>
        <w:tab w:val="left" w:pos="6960"/>
        <w:tab w:val="right" w:pos="9740"/>
      </w:tabs>
      <w:ind w:right="-720"/>
      <w:rPr>
        <w:rStyle w:val="Numeropagina"/>
        <w:rFonts w:ascii="Calibri" w:hAnsi="Calibri" w:cs="Calibri"/>
        <w:sz w:val="16"/>
        <w:szCs w:val="16"/>
      </w:rPr>
    </w:pPr>
  </w:p>
  <w:p w14:paraId="719E726B" w14:textId="09CB529F" w:rsidR="00FA7410" w:rsidRDefault="00FA7410" w:rsidP="00FA7410">
    <w:pPr>
      <w:ind w:right="-720"/>
      <w:rPr>
        <w:rStyle w:val="Numeropagina"/>
        <w:rFonts w:ascii="Calibri" w:hAnsi="Calibri" w:cs="Calibri"/>
        <w:sz w:val="16"/>
        <w:szCs w:val="16"/>
      </w:rPr>
    </w:pPr>
  </w:p>
  <w:p w14:paraId="000DC277" w14:textId="77777777" w:rsidR="00FA7410" w:rsidRDefault="00FA7410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3EBF0" w14:textId="77777777" w:rsidR="00765157" w:rsidRDefault="00765157" w:rsidP="00946786">
      <w:pPr>
        <w:spacing w:line="240" w:lineRule="auto"/>
      </w:pPr>
      <w:r>
        <w:separator/>
      </w:r>
    </w:p>
  </w:footnote>
  <w:footnote w:type="continuationSeparator" w:id="0">
    <w:p w14:paraId="4F5A60E5" w14:textId="77777777" w:rsidR="00765157" w:rsidRDefault="00765157" w:rsidP="00946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F6C40" w14:textId="1EA0C4EE" w:rsidR="00946786" w:rsidRDefault="00731B0A">
    <w:r>
      <w:rPr>
        <w:noProof/>
      </w:rPr>
      <w:drawing>
        <wp:anchor distT="0" distB="0" distL="114300" distR="114300" simplePos="0" relativeHeight="251668480" behindDoc="1" locked="0" layoutInCell="1" allowOverlap="1" wp14:anchorId="280DD32C" wp14:editId="02540E71">
          <wp:simplePos x="0" y="0"/>
          <wp:positionH relativeFrom="column">
            <wp:posOffset>-694893</wp:posOffset>
          </wp:positionH>
          <wp:positionV relativeFrom="page">
            <wp:posOffset>173990</wp:posOffset>
          </wp:positionV>
          <wp:extent cx="3098800" cy="866156"/>
          <wp:effectExtent l="0" t="0" r="0" b="0"/>
          <wp:wrapNone/>
          <wp:docPr id="1158808216" name="Picture 13701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8800" cy="8661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6736" w14:textId="4D619AB1" w:rsidR="006E32FF" w:rsidRDefault="006E32FF" w:rsidP="007063EE"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521A94E" wp14:editId="4111FB7F">
              <wp:simplePos x="0" y="0"/>
              <wp:positionH relativeFrom="column">
                <wp:posOffset>3743325</wp:posOffset>
              </wp:positionH>
              <wp:positionV relativeFrom="page">
                <wp:posOffset>495300</wp:posOffset>
              </wp:positionV>
              <wp:extent cx="2499995" cy="17399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9995" cy="1739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1E6858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  <w:t>Giesse S.p.A. società con unico socio</w:t>
                          </w:r>
                        </w:p>
                        <w:p w14:paraId="45A20651" w14:textId="1E626BD8" w:rsidR="009E33A6" w:rsidRPr="00EA378A" w:rsidRDefault="009E33A6" w:rsidP="00731B0A">
                          <w:pPr>
                            <w:spacing w:line="250" w:lineRule="exact"/>
                            <w:jc w:val="right"/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Quanex® </w:t>
                          </w:r>
                          <w:r w:rsidR="000E4B25"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>Hardware Solutions</w:t>
                          </w:r>
                        </w:p>
                        <w:p w14:paraId="42DCF533" w14:textId="77777777" w:rsidR="000E4B25" w:rsidRPr="00A16B91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Sede legale: Via Tubertini 1, 40054 Budrio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Italy  </w:t>
                          </w:r>
                        </w:p>
                        <w:p w14:paraId="31B7806B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TEL:</w:t>
                          </w:r>
                          <w:r w:rsidRPr="005E1827">
                            <w:rPr>
                              <w:color w:val="186937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</w:rPr>
                            <w:t>+39 051 8850000</w:t>
                          </w:r>
                        </w:p>
                        <w:p w14:paraId="67C64902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EMAIL:</w:t>
                          </w:r>
                          <w:r w:rsidRPr="005E182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Pr="00E03D78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info.it@quanex.com</w:t>
                            </w:r>
                          </w:hyperlink>
                        </w:p>
                        <w:p w14:paraId="3CEBBE26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AEA8B47" w14:textId="77777777" w:rsidR="000E4B25" w:rsidRPr="00D94B71" w:rsidRDefault="000E4B25" w:rsidP="000E4B25">
                          <w:pPr>
                            <w:pStyle w:val="URLCAPSSTYLE"/>
                            <w:rPr>
                              <w:color w:val="auto"/>
                            </w:rPr>
                          </w:pPr>
                          <w:r w:rsidRPr="00D94B71">
                            <w:rPr>
                              <w:color w:val="auto"/>
                            </w:rPr>
                            <w:t>QUANEX-INTERNATION</w:t>
                          </w:r>
                          <w:r>
                            <w:rPr>
                              <w:color w:val="auto"/>
                            </w:rPr>
                            <w:t>A</w:t>
                          </w:r>
                          <w:r w:rsidRPr="00D94B71">
                            <w:rPr>
                              <w:color w:val="auto"/>
                            </w:rPr>
                            <w:t>L.COM</w:t>
                          </w:r>
                        </w:p>
                        <w:p w14:paraId="6F329920" w14:textId="52EDE39B" w:rsidR="006E32FF" w:rsidRPr="00731B0A" w:rsidRDefault="000E4B25" w:rsidP="000E4B25">
                          <w:pPr>
                            <w:pStyle w:val="URLCAPSSTYLE"/>
                          </w:pPr>
                          <w:r w:rsidRPr="00731B0A">
                            <w:t>QUANEX.COM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1A94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4.75pt;margin-top:39pt;width:196.85pt;height:13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" filled="f" stroked="f" strokeweight=".5pt">
              <v:textbox>
                <w:txbxContent>
                  <w:p w14:paraId="071E6858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b/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b/>
                        <w:sz w:val="18"/>
                        <w:szCs w:val="18"/>
                        <w:lang w:val="it-IT"/>
                      </w:rPr>
                      <w:t>Giesse S.p.A. società con unico socio</w:t>
                    </w:r>
                  </w:p>
                  <w:p w14:paraId="45A20651" w14:textId="1E626BD8" w:rsidR="009E33A6" w:rsidRPr="00EA378A" w:rsidRDefault="009E33A6" w:rsidP="00731B0A">
                    <w:pPr>
                      <w:spacing w:line="250" w:lineRule="exact"/>
                      <w:jc w:val="right"/>
                      <w:rPr>
                        <w:bCs/>
                        <w:sz w:val="18"/>
                        <w:szCs w:val="18"/>
                        <w:lang w:val="it-IT"/>
                      </w:rPr>
                    </w:pPr>
                    <w:r w:rsidRPr="00EA378A">
                      <w:rPr>
                        <w:bCs/>
                        <w:sz w:val="18"/>
                        <w:szCs w:val="18"/>
                        <w:lang w:val="it-IT"/>
                      </w:rPr>
                      <w:t xml:space="preserve">Quanex® </w:t>
                    </w:r>
                    <w:r w:rsidR="000E4B25" w:rsidRPr="00EA378A">
                      <w:rPr>
                        <w:bCs/>
                        <w:sz w:val="18"/>
                        <w:szCs w:val="18"/>
                        <w:lang w:val="it-IT"/>
                      </w:rPr>
                      <w:t>Hardware Solutions</w:t>
                    </w:r>
                  </w:p>
                  <w:p w14:paraId="42DCF533" w14:textId="77777777" w:rsidR="000E4B25" w:rsidRPr="00A16B91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sz w:val="18"/>
                        <w:szCs w:val="18"/>
                        <w:lang w:val="it-IT"/>
                      </w:rPr>
                      <w:t>Sede legale: Via Tubertini 1, 40054 Budrio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>–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 xml:space="preserve">Italy  </w:t>
                    </w:r>
                  </w:p>
                  <w:p w14:paraId="31B7806B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TEL:</w:t>
                    </w:r>
                    <w:r w:rsidRPr="005E1827">
                      <w:rPr>
                        <w:color w:val="186937"/>
                        <w:sz w:val="18"/>
                        <w:szCs w:val="18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</w:rPr>
                      <w:t>+39 051 8850000</w:t>
                    </w:r>
                  </w:p>
                  <w:p w14:paraId="67C64902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EMAIL:</w:t>
                    </w:r>
                    <w:r w:rsidRPr="005E1827">
                      <w:rPr>
                        <w:sz w:val="18"/>
                        <w:szCs w:val="18"/>
                      </w:rPr>
                      <w:t xml:space="preserve"> </w:t>
                    </w:r>
                    <w:hyperlink r:id="rId2" w:history="1">
                      <w:r w:rsidRPr="00E03D78">
                        <w:rPr>
                          <w:rStyle w:val="Collegamentoipertestuale"/>
                          <w:sz w:val="18"/>
                          <w:szCs w:val="18"/>
                        </w:rPr>
                        <w:t>info.it@quanex.com</w:t>
                      </w:r>
                    </w:hyperlink>
                  </w:p>
                  <w:p w14:paraId="3CEBBE26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</w:p>
                  <w:p w14:paraId="3AEA8B47" w14:textId="77777777" w:rsidR="000E4B25" w:rsidRPr="00D94B71" w:rsidRDefault="000E4B25" w:rsidP="000E4B25">
                    <w:pPr>
                      <w:pStyle w:val="URLCAPSSTYLE"/>
                      <w:rPr>
                        <w:color w:val="auto"/>
                      </w:rPr>
                    </w:pPr>
                    <w:r w:rsidRPr="00D94B71">
                      <w:rPr>
                        <w:color w:val="auto"/>
                      </w:rPr>
                      <w:t>QUANEX-INTERNATION</w:t>
                    </w:r>
                    <w:r>
                      <w:rPr>
                        <w:color w:val="auto"/>
                      </w:rPr>
                      <w:t>A</w:t>
                    </w:r>
                    <w:r w:rsidRPr="00D94B71">
                      <w:rPr>
                        <w:color w:val="auto"/>
                      </w:rPr>
                      <w:t>L.COM</w:t>
                    </w:r>
                  </w:p>
                  <w:p w14:paraId="6F329920" w14:textId="52EDE39B" w:rsidR="006E32FF" w:rsidRPr="00731B0A" w:rsidRDefault="000E4B25" w:rsidP="000E4B25">
                    <w:pPr>
                      <w:pStyle w:val="URLCAPSSTYLE"/>
                    </w:pPr>
                    <w:r w:rsidRPr="00731B0A">
                      <w:t>QUANEX.COM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1" layoutInCell="1" allowOverlap="1" wp14:anchorId="7EC8E50C" wp14:editId="68066115">
          <wp:simplePos x="0" y="0"/>
          <wp:positionH relativeFrom="column">
            <wp:posOffset>-817880</wp:posOffset>
          </wp:positionH>
          <wp:positionV relativeFrom="page">
            <wp:posOffset>114300</wp:posOffset>
          </wp:positionV>
          <wp:extent cx="2468880" cy="1344168"/>
          <wp:effectExtent l="0" t="0" r="0" b="0"/>
          <wp:wrapNone/>
          <wp:docPr id="356815619" name="Picture 113348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880" cy="1344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4043"/>
    <w:multiLevelType w:val="hybridMultilevel"/>
    <w:tmpl w:val="3680280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D038A"/>
    <w:multiLevelType w:val="hybridMultilevel"/>
    <w:tmpl w:val="E7901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809E0"/>
    <w:multiLevelType w:val="hybridMultilevel"/>
    <w:tmpl w:val="2F46E95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D69EF"/>
    <w:multiLevelType w:val="hybridMultilevel"/>
    <w:tmpl w:val="988832CE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D2E85"/>
    <w:multiLevelType w:val="hybridMultilevel"/>
    <w:tmpl w:val="98B4B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E55B5"/>
    <w:multiLevelType w:val="hybridMultilevel"/>
    <w:tmpl w:val="676AE2F2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852639">
    <w:abstractNumId w:val="4"/>
  </w:num>
  <w:num w:numId="2" w16cid:durableId="482086253">
    <w:abstractNumId w:val="1"/>
  </w:num>
  <w:num w:numId="3" w16cid:durableId="970596562">
    <w:abstractNumId w:val="5"/>
  </w:num>
  <w:num w:numId="4" w16cid:durableId="733898273">
    <w:abstractNumId w:val="3"/>
  </w:num>
  <w:num w:numId="5" w16cid:durableId="911890916">
    <w:abstractNumId w:val="2"/>
  </w:num>
  <w:num w:numId="6" w16cid:durableId="175735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86"/>
    <w:rsid w:val="000060FF"/>
    <w:rsid w:val="0005123D"/>
    <w:rsid w:val="0005392B"/>
    <w:rsid w:val="00065C63"/>
    <w:rsid w:val="000800F9"/>
    <w:rsid w:val="00080EC7"/>
    <w:rsid w:val="00097932"/>
    <w:rsid w:val="000E4B25"/>
    <w:rsid w:val="001115F3"/>
    <w:rsid w:val="00114480"/>
    <w:rsid w:val="001540FB"/>
    <w:rsid w:val="001811B6"/>
    <w:rsid w:val="001866B3"/>
    <w:rsid w:val="001F5EBE"/>
    <w:rsid w:val="00220BC5"/>
    <w:rsid w:val="002A4AD5"/>
    <w:rsid w:val="00321831"/>
    <w:rsid w:val="0036434B"/>
    <w:rsid w:val="00387A08"/>
    <w:rsid w:val="00453F3E"/>
    <w:rsid w:val="0045649E"/>
    <w:rsid w:val="004F0624"/>
    <w:rsid w:val="004F3996"/>
    <w:rsid w:val="0050429F"/>
    <w:rsid w:val="00514474"/>
    <w:rsid w:val="00522513"/>
    <w:rsid w:val="00532EEC"/>
    <w:rsid w:val="0054724B"/>
    <w:rsid w:val="005E3FC8"/>
    <w:rsid w:val="00672546"/>
    <w:rsid w:val="00672970"/>
    <w:rsid w:val="00691C60"/>
    <w:rsid w:val="00696692"/>
    <w:rsid w:val="006A5F40"/>
    <w:rsid w:val="006E32FF"/>
    <w:rsid w:val="007063EE"/>
    <w:rsid w:val="00714612"/>
    <w:rsid w:val="007221FB"/>
    <w:rsid w:val="00731B0A"/>
    <w:rsid w:val="00765157"/>
    <w:rsid w:val="007A0C4F"/>
    <w:rsid w:val="007F63E0"/>
    <w:rsid w:val="0085379A"/>
    <w:rsid w:val="00855B5F"/>
    <w:rsid w:val="008913BC"/>
    <w:rsid w:val="009403DC"/>
    <w:rsid w:val="00946786"/>
    <w:rsid w:val="00986BD9"/>
    <w:rsid w:val="00987B30"/>
    <w:rsid w:val="009E33A6"/>
    <w:rsid w:val="00A46D62"/>
    <w:rsid w:val="00A8560B"/>
    <w:rsid w:val="00A92AAD"/>
    <w:rsid w:val="00AC1C8D"/>
    <w:rsid w:val="00AC7DE9"/>
    <w:rsid w:val="00AD29FA"/>
    <w:rsid w:val="00B301DC"/>
    <w:rsid w:val="00BF638B"/>
    <w:rsid w:val="00C017C2"/>
    <w:rsid w:val="00C23597"/>
    <w:rsid w:val="00C36664"/>
    <w:rsid w:val="00C813B6"/>
    <w:rsid w:val="00CF4CB6"/>
    <w:rsid w:val="00CF4ECB"/>
    <w:rsid w:val="00D3221B"/>
    <w:rsid w:val="00D450FB"/>
    <w:rsid w:val="00DA65ED"/>
    <w:rsid w:val="00DA66F5"/>
    <w:rsid w:val="00DB0C31"/>
    <w:rsid w:val="00E0676D"/>
    <w:rsid w:val="00E92550"/>
    <w:rsid w:val="00EA378A"/>
    <w:rsid w:val="00EF28F7"/>
    <w:rsid w:val="00F4580D"/>
    <w:rsid w:val="00FA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3258"/>
  <w14:defaultImageDpi w14:val="32767"/>
  <w15:chartTrackingRefBased/>
  <w15:docId w15:val="{8AA0FA3D-98BB-7D4D-81E2-6E3FB6A6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aliases w:val="Quanex Letterhead Copy"/>
    <w:qFormat/>
    <w:rsid w:val="008913BC"/>
    <w:pPr>
      <w:spacing w:line="240" w:lineRule="exact"/>
    </w:pPr>
    <w:rPr>
      <w:rFonts w:eastAsiaTheme="minorEastAsia"/>
      <w:sz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46D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6D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946786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786"/>
  </w:style>
  <w:style w:type="character" w:styleId="Numeropagina">
    <w:name w:val="page number"/>
    <w:basedOn w:val="Carpredefinitoparagrafo"/>
    <w:uiPriority w:val="99"/>
    <w:semiHidden/>
    <w:unhideWhenUsed/>
    <w:rsid w:val="00855B5F"/>
  </w:style>
  <w:style w:type="paragraph" w:customStyle="1" w:styleId="URLCAPSSTYLE">
    <w:name w:val="URL CAPS STYLE"/>
    <w:qFormat/>
    <w:rsid w:val="00731B0A"/>
    <w:pPr>
      <w:spacing w:line="240" w:lineRule="exact"/>
      <w:jc w:val="right"/>
    </w:pPr>
    <w:rPr>
      <w:rFonts w:cs="Times New Roman (Body CS)"/>
      <w:b/>
      <w:color w:val="186937"/>
      <w:spacing w:val="24"/>
      <w:kern w:val="18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714612"/>
    <w:pPr>
      <w:tabs>
        <w:tab w:val="center" w:pos="4680"/>
        <w:tab w:val="right" w:pos="9360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61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E4B2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540FB"/>
    <w:pPr>
      <w:ind w:left="720"/>
      <w:contextualSpacing/>
    </w:pPr>
  </w:style>
  <w:style w:type="paragraph" w:styleId="Revisione">
    <w:name w:val="Revision"/>
    <w:hidden/>
    <w:uiPriority w:val="99"/>
    <w:semiHidden/>
    <w:rsid w:val="0005392B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info.it@quanex.com" TargetMode="External"/><Relationship Id="rId1" Type="http://schemas.openxmlformats.org/officeDocument/2006/relationships/hyperlink" Target="mailto:info.it@quan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Dore</cp:lastModifiedBy>
  <cp:revision>5</cp:revision>
  <dcterms:created xsi:type="dcterms:W3CDTF">2025-05-13T12:45:00Z</dcterms:created>
  <dcterms:modified xsi:type="dcterms:W3CDTF">2025-05-14T06:59:00Z</dcterms:modified>
</cp:coreProperties>
</file>