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9381" w14:textId="63F84993" w:rsidR="00BF1AFC" w:rsidRPr="0023563B" w:rsidRDefault="00AC31BE" w:rsidP="00BF1AFC">
      <w:pPr>
        <w:rPr>
          <w:noProof/>
          <w:lang w:val="de-DE"/>
        </w:rPr>
      </w:pPr>
      <w:r w:rsidRPr="0023563B">
        <w:rPr>
          <w:noProof/>
          <w:lang w:val="de-DE"/>
        </w:rPr>
        <w:softHyphen/>
      </w:r>
    </w:p>
    <w:p w14:paraId="2D82DBF2" w14:textId="77777777" w:rsidR="007F365A" w:rsidRPr="0023563B" w:rsidRDefault="007F365A" w:rsidP="00243FCA">
      <w:pPr>
        <w:ind w:right="-336"/>
        <w:rPr>
          <w:rFonts w:ascii="Noto Sans Med" w:hAnsi="Noto Sans Med" w:cs="Noto Sans Med"/>
          <w:noProof/>
          <w:color w:val="4D4D4C"/>
          <w:sz w:val="24"/>
          <w:lang w:val="de-DE"/>
        </w:rPr>
      </w:pPr>
    </w:p>
    <w:p w14:paraId="0885E525" w14:textId="77777777" w:rsidR="006620F1" w:rsidRPr="0023563B" w:rsidRDefault="006620F1" w:rsidP="006620F1">
      <w:pPr>
        <w:rPr>
          <w:rFonts w:ascii="Verdana" w:hAnsi="Verdana"/>
          <w:b/>
          <w:bCs/>
          <w:color w:val="4D4D4C"/>
          <w:lang w:val="de-DE"/>
        </w:rPr>
      </w:pPr>
    </w:p>
    <w:p w14:paraId="0754604C" w14:textId="77777777" w:rsidR="0023563B" w:rsidRDefault="0023563B" w:rsidP="0023563B">
      <w:pPr>
        <w:ind w:right="-336"/>
        <w:rPr>
          <w:rFonts w:ascii="Verdana" w:hAnsi="Verdana"/>
          <w:b/>
          <w:bCs/>
          <w:color w:val="4D4D4C"/>
          <w:lang w:val="de-DE"/>
        </w:rPr>
      </w:pPr>
      <w:r w:rsidRPr="0023563B">
        <w:rPr>
          <w:rFonts w:ascii="Verdana" w:hAnsi="Verdana"/>
          <w:b/>
          <w:bCs/>
          <w:color w:val="4D4D4C"/>
          <w:lang w:val="de-DE"/>
        </w:rPr>
        <w:t>Tyman International, Beschläge und Dichtungslösungen</w:t>
      </w:r>
    </w:p>
    <w:p w14:paraId="53631A39" w14:textId="77777777" w:rsidR="0023563B" w:rsidRPr="0023563B" w:rsidRDefault="0023563B" w:rsidP="0023563B">
      <w:pPr>
        <w:ind w:right="-336"/>
        <w:rPr>
          <w:rFonts w:ascii="Verdana" w:hAnsi="Verdana"/>
          <w:b/>
          <w:bCs/>
          <w:color w:val="4D4D4C"/>
          <w:lang w:val="de-DE"/>
        </w:rPr>
      </w:pPr>
    </w:p>
    <w:p w14:paraId="4AFEF86F" w14:textId="6B1843F6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Tyman International ist ein Geschäftsbereich der Tyman-Gruppe, </w:t>
      </w:r>
      <w:r w:rsidR="00503D4E" w:rsidRPr="00503D4E">
        <w:rPr>
          <w:rFonts w:ascii="Verdana" w:hAnsi="Verdana"/>
          <w:color w:val="4D4D4C"/>
          <w:lang w:val="de-DE"/>
        </w:rPr>
        <w:t>einen</w:t>
      </w:r>
      <w:r w:rsidR="00503D4E" w:rsidRPr="00503D4E">
        <w:rPr>
          <w:rFonts w:ascii="Verdana" w:hAnsi="Verdana"/>
          <w:color w:val="4D4D4C"/>
          <w:lang w:val="de-DE"/>
        </w:rPr>
        <w:t xml:space="preserve"> </w:t>
      </w:r>
      <w:r w:rsidRPr="0023563B">
        <w:rPr>
          <w:rFonts w:ascii="Verdana" w:hAnsi="Verdana"/>
          <w:color w:val="4D4D4C"/>
          <w:lang w:val="de-DE"/>
        </w:rPr>
        <w:t>führenden internationalen Anbieter von technischen Fensterkomponenten und Zugangslösungen, dessen Handelsnetz Kunden in über hundert Ländern der Welt erreicht. Die Gruppe ist an der Londoner Börse notiert.</w:t>
      </w:r>
    </w:p>
    <w:p w14:paraId="328D9656" w14:textId="77777777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>Das Markenportfolio von Tyman International umfasst</w:t>
      </w:r>
    </w:p>
    <w:p w14:paraId="7CCD3D2D" w14:textId="77777777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 </w:t>
      </w:r>
    </w:p>
    <w:p w14:paraId="68B0E2AD" w14:textId="6F68F900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- </w:t>
      </w:r>
      <w:r w:rsidRPr="0023563B">
        <w:rPr>
          <w:rFonts w:ascii="Verdana" w:hAnsi="Verdana"/>
          <w:b/>
          <w:bCs/>
          <w:color w:val="4D4D4C"/>
          <w:lang w:val="de-DE"/>
        </w:rPr>
        <w:t>Schlegel</w:t>
      </w:r>
      <w:r w:rsidRPr="0023563B">
        <w:rPr>
          <w:rFonts w:ascii="Verdana" w:hAnsi="Verdana"/>
          <w:color w:val="4D4D4C"/>
          <w:lang w:val="de-DE"/>
        </w:rPr>
        <w:t xml:space="preserve">, </w:t>
      </w:r>
      <w:r w:rsidR="00503D4E" w:rsidRPr="00503D4E">
        <w:rPr>
          <w:rFonts w:ascii="Verdana" w:hAnsi="Verdana"/>
          <w:color w:val="4D4D4C"/>
          <w:lang w:val="de-DE"/>
        </w:rPr>
        <w:t>hochwertigen Fenster und Tür Dichtungslösungen</w:t>
      </w:r>
      <w:r w:rsidRPr="0023563B">
        <w:rPr>
          <w:rFonts w:ascii="Verdana" w:hAnsi="Verdana"/>
          <w:color w:val="4D4D4C"/>
          <w:lang w:val="de-DE"/>
        </w:rPr>
        <w:t>;</w:t>
      </w:r>
    </w:p>
    <w:p w14:paraId="64F50673" w14:textId="77777777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- </w:t>
      </w:r>
      <w:r w:rsidRPr="0023563B">
        <w:rPr>
          <w:rFonts w:ascii="Verdana" w:hAnsi="Verdana"/>
          <w:b/>
          <w:bCs/>
          <w:color w:val="4D4D4C"/>
          <w:lang w:val="de-DE"/>
        </w:rPr>
        <w:t>Giesse</w:t>
      </w:r>
      <w:r w:rsidRPr="0023563B">
        <w:rPr>
          <w:rFonts w:ascii="Verdana" w:hAnsi="Verdana"/>
          <w:color w:val="4D4D4C"/>
          <w:lang w:val="de-DE"/>
        </w:rPr>
        <w:t>, Hochleistungsbeschläge für Aluminiumfenster und -türen;</w:t>
      </w:r>
    </w:p>
    <w:p w14:paraId="2705506E" w14:textId="1523A306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- </w:t>
      </w:r>
      <w:r w:rsidRPr="0023563B">
        <w:rPr>
          <w:rFonts w:ascii="Verdana" w:hAnsi="Verdana"/>
          <w:b/>
          <w:bCs/>
          <w:color w:val="4D4D4C"/>
          <w:lang w:val="de-DE"/>
        </w:rPr>
        <w:t>Reguitti</w:t>
      </w:r>
      <w:r w:rsidRPr="0023563B">
        <w:rPr>
          <w:rFonts w:ascii="Verdana" w:hAnsi="Verdana"/>
          <w:color w:val="4D4D4C"/>
          <w:lang w:val="de-DE"/>
        </w:rPr>
        <w:t xml:space="preserve">, </w:t>
      </w:r>
      <w:r w:rsidR="00503D4E" w:rsidRPr="00503D4E">
        <w:rPr>
          <w:rFonts w:ascii="Verdana" w:hAnsi="Verdana"/>
          <w:color w:val="4D4D4C"/>
          <w:lang w:val="de-DE"/>
        </w:rPr>
        <w:t>Designergriffe und Zubehöre für Türe und Fenster</w:t>
      </w:r>
      <w:r w:rsidRPr="0023563B">
        <w:rPr>
          <w:rFonts w:ascii="Verdana" w:hAnsi="Verdana"/>
          <w:color w:val="4D4D4C"/>
          <w:lang w:val="de-DE"/>
        </w:rPr>
        <w:t>;</w:t>
      </w:r>
    </w:p>
    <w:p w14:paraId="11EB5FF5" w14:textId="77777777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- </w:t>
      </w:r>
      <w:proofErr w:type="spellStart"/>
      <w:r w:rsidRPr="0023563B">
        <w:rPr>
          <w:rFonts w:ascii="Verdana" w:hAnsi="Verdana"/>
          <w:b/>
          <w:bCs/>
          <w:color w:val="4D4D4C"/>
          <w:lang w:val="de-DE"/>
        </w:rPr>
        <w:t>Jatec</w:t>
      </w:r>
      <w:proofErr w:type="spellEnd"/>
      <w:r w:rsidRPr="0023563B">
        <w:rPr>
          <w:rFonts w:ascii="Verdana" w:hAnsi="Verdana"/>
          <w:color w:val="4D4D4C"/>
          <w:lang w:val="de-DE"/>
        </w:rPr>
        <w:t>, Luxusgriffe und Türbeschläge.</w:t>
      </w:r>
    </w:p>
    <w:p w14:paraId="1DC5B060" w14:textId="77777777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</w:p>
    <w:p w14:paraId="0DCD053C" w14:textId="5B23A897" w:rsidR="0023563B" w:rsidRPr="0046763A" w:rsidRDefault="00503D4E" w:rsidP="0023563B">
      <w:pPr>
        <w:ind w:right="-336"/>
        <w:rPr>
          <w:rFonts w:ascii="Verdana" w:hAnsi="Verdana"/>
          <w:color w:val="auto"/>
          <w:lang w:val="de-DE"/>
        </w:rPr>
      </w:pPr>
      <w:r w:rsidRPr="00503D4E">
        <w:rPr>
          <w:rFonts w:ascii="Verdana" w:hAnsi="Verdana"/>
          <w:color w:val="4D4D4C"/>
          <w:lang w:val="de-DE"/>
        </w:rPr>
        <w:t xml:space="preserve">Tyman International entwickelt </w:t>
      </w:r>
      <w:proofErr w:type="spellStart"/>
      <w:r w:rsidRPr="00503D4E">
        <w:rPr>
          <w:rFonts w:ascii="Verdana" w:hAnsi="Verdana"/>
          <w:color w:val="4D4D4C"/>
          <w:lang w:val="de-DE"/>
        </w:rPr>
        <w:t>High-tech</w:t>
      </w:r>
      <w:proofErr w:type="spellEnd"/>
      <w:r w:rsidRPr="00503D4E">
        <w:rPr>
          <w:rFonts w:ascii="Verdana" w:hAnsi="Verdana"/>
          <w:color w:val="4D4D4C"/>
          <w:lang w:val="de-DE"/>
        </w:rPr>
        <w:t xml:space="preserve"> Lösungen, um die Leistung, die Zuverlässigkeit und der Aufbaugeschwindigkeit zu verbessern und den Standard von Fenster- und Türkomponenten täglich neu zu bestimmen.)</w:t>
      </w:r>
      <w:r w:rsidR="0023563B" w:rsidRPr="0023563B">
        <w:rPr>
          <w:rFonts w:ascii="Verdana" w:hAnsi="Verdana"/>
          <w:color w:val="4D4D4C"/>
          <w:lang w:val="de-DE"/>
        </w:rPr>
        <w:t>. Die technologische Innovation ist die Grundlage jedes einzelnen Projekts und bildet das Herzstück jedes Produkts.</w:t>
      </w:r>
    </w:p>
    <w:p w14:paraId="1F2B1C0A" w14:textId="77777777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</w:p>
    <w:p w14:paraId="0D4E905D" w14:textId="77418068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Mit über 15.000 Produkten und 150 eingetragenen Patenten bietet Tyman International ein integriertes Angebot mit einer großen Auswahl, </w:t>
      </w:r>
      <w:r w:rsidR="00CC4F25" w:rsidRPr="0023563B">
        <w:rPr>
          <w:rFonts w:ascii="Verdana" w:hAnsi="Verdana"/>
          <w:color w:val="4D4D4C"/>
          <w:lang w:val="de-DE"/>
        </w:rPr>
        <w:t>da</w:t>
      </w:r>
      <w:r w:rsidR="00503D4E">
        <w:rPr>
          <w:rFonts w:ascii="Verdana" w:hAnsi="Verdana"/>
          <w:color w:val="4D4D4C"/>
          <w:lang w:val="de-DE"/>
        </w:rPr>
        <w:t>s</w:t>
      </w:r>
      <w:r w:rsidR="00CC4F25" w:rsidRPr="0023563B">
        <w:rPr>
          <w:rFonts w:ascii="Verdana" w:hAnsi="Verdana"/>
          <w:color w:val="4D4D4C"/>
          <w:lang w:val="de-DE"/>
        </w:rPr>
        <w:t>s</w:t>
      </w:r>
      <w:r w:rsidRPr="0023563B">
        <w:rPr>
          <w:rFonts w:ascii="Verdana" w:hAnsi="Verdana"/>
          <w:color w:val="4D4D4C"/>
          <w:lang w:val="de-DE"/>
        </w:rPr>
        <w:t xml:space="preserve"> die bestmögliche Lösung für jedes Bauprojekt gewährleistet.</w:t>
      </w:r>
    </w:p>
    <w:p w14:paraId="3C13FE0D" w14:textId="77777777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</w:p>
    <w:p w14:paraId="1A04F0CA" w14:textId="76A47FEB" w:rsidR="0023563B" w:rsidRPr="0023563B" w:rsidRDefault="0023563B" w:rsidP="0023563B">
      <w:pPr>
        <w:ind w:right="-336"/>
        <w:rPr>
          <w:rFonts w:ascii="Verdana" w:hAnsi="Verdana"/>
          <w:color w:val="4D4D4C"/>
          <w:lang w:val="de-DE"/>
        </w:rPr>
      </w:pPr>
      <w:r w:rsidRPr="0023563B">
        <w:rPr>
          <w:rFonts w:ascii="Verdana" w:hAnsi="Verdana"/>
          <w:color w:val="4D4D4C"/>
          <w:lang w:val="de-DE"/>
        </w:rPr>
        <w:t xml:space="preserve">Mit </w:t>
      </w:r>
      <w:r w:rsidR="00503D4E">
        <w:rPr>
          <w:rFonts w:ascii="Verdana" w:hAnsi="Verdana"/>
          <w:color w:val="4D4D4C"/>
          <w:lang w:val="de-DE"/>
        </w:rPr>
        <w:t>4</w:t>
      </w:r>
      <w:r w:rsidRPr="0023563B">
        <w:rPr>
          <w:rFonts w:ascii="Verdana" w:hAnsi="Verdana"/>
          <w:color w:val="4D4D4C"/>
          <w:lang w:val="de-DE"/>
        </w:rPr>
        <w:t xml:space="preserve"> </w:t>
      </w:r>
      <w:r w:rsidR="00503D4E" w:rsidRPr="00503D4E">
        <w:rPr>
          <w:rFonts w:ascii="Verdana" w:hAnsi="Verdana"/>
          <w:color w:val="4D4D4C"/>
          <w:lang w:val="de-DE"/>
        </w:rPr>
        <w:t>Fertigungshallen</w:t>
      </w:r>
      <w:r w:rsidR="00503D4E" w:rsidRPr="00503D4E">
        <w:rPr>
          <w:rFonts w:ascii="Verdana" w:hAnsi="Verdana"/>
          <w:color w:val="4D4D4C"/>
          <w:lang w:val="de-DE"/>
        </w:rPr>
        <w:t xml:space="preserve"> </w:t>
      </w:r>
      <w:r w:rsidRPr="0023563B">
        <w:rPr>
          <w:rFonts w:ascii="Verdana" w:hAnsi="Verdana"/>
          <w:color w:val="4D4D4C"/>
          <w:lang w:val="de-DE"/>
        </w:rPr>
        <w:t>und 9 Vertriebsniederlassungen in der ganzen Welt ist Tyman International ein solides Unternehmen, da</w:t>
      </w:r>
      <w:r w:rsidR="00503D4E">
        <w:rPr>
          <w:rFonts w:ascii="Verdana" w:hAnsi="Verdana"/>
          <w:color w:val="4D4D4C"/>
          <w:lang w:val="de-DE"/>
        </w:rPr>
        <w:t>s</w:t>
      </w:r>
      <w:r w:rsidRPr="0023563B">
        <w:rPr>
          <w:rFonts w:ascii="Verdana" w:hAnsi="Verdana"/>
          <w:color w:val="4D4D4C"/>
          <w:lang w:val="de-DE"/>
        </w:rPr>
        <w:t xml:space="preserve">s in der Lage ist, </w:t>
      </w:r>
      <w:r w:rsidR="00503D4E" w:rsidRPr="00503D4E">
        <w:rPr>
          <w:rFonts w:ascii="Verdana" w:hAnsi="Verdana"/>
          <w:color w:val="4D4D4C"/>
          <w:lang w:val="de-DE"/>
        </w:rPr>
        <w:t>ständig</w:t>
      </w:r>
      <w:r w:rsidR="00503D4E" w:rsidRPr="00503D4E">
        <w:rPr>
          <w:rFonts w:ascii="Verdana" w:hAnsi="Verdana"/>
          <w:color w:val="4D4D4C"/>
          <w:lang w:val="de-DE"/>
        </w:rPr>
        <w:t xml:space="preserve"> </w:t>
      </w:r>
      <w:r w:rsidRPr="0023563B">
        <w:rPr>
          <w:rFonts w:ascii="Verdana" w:hAnsi="Verdana"/>
          <w:color w:val="4D4D4C"/>
          <w:lang w:val="de-DE"/>
        </w:rPr>
        <w:t>in organisches Wachstum durch Innovation, operative Exzellenz und nachhaltige Prozesse und Produkte zu investieren.</w:t>
      </w:r>
    </w:p>
    <w:p w14:paraId="4A964747" w14:textId="77777777" w:rsidR="0023563B" w:rsidRPr="0023563B" w:rsidRDefault="0023563B" w:rsidP="0023563B">
      <w:pPr>
        <w:ind w:right="-336"/>
        <w:rPr>
          <w:rFonts w:ascii="Verdana" w:hAnsi="Verdana"/>
          <w:b/>
          <w:bCs/>
          <w:color w:val="4D4D4C"/>
          <w:lang w:val="de-DE"/>
        </w:rPr>
      </w:pPr>
    </w:p>
    <w:p w14:paraId="10537023" w14:textId="6606066C" w:rsidR="00BF1AFC" w:rsidRPr="0023563B" w:rsidRDefault="00BF1AFC" w:rsidP="0023563B">
      <w:pPr>
        <w:ind w:right="-336"/>
        <w:rPr>
          <w:rFonts w:ascii="Noto Sans Med" w:hAnsi="Noto Sans Med" w:cs="Noto Sans Med"/>
          <w:color w:val="141312"/>
          <w:sz w:val="24"/>
          <w:lang w:val="de-DE"/>
          <w14:textFill>
            <w14:solidFill>
              <w14:srgbClr w14:val="141312">
                <w14:alpha w14:val="20000"/>
              </w14:srgbClr>
            </w14:solidFill>
          </w14:textFill>
        </w:rPr>
      </w:pPr>
    </w:p>
    <w:sectPr w:rsidR="00BF1AFC" w:rsidRPr="0023563B" w:rsidSect="00CD7D9A">
      <w:headerReference w:type="default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EEC0" w14:textId="77777777" w:rsidR="00CD7D9A" w:rsidRDefault="00CD7D9A" w:rsidP="00D61B60">
      <w:r>
        <w:separator/>
      </w:r>
    </w:p>
  </w:endnote>
  <w:endnote w:type="continuationSeparator" w:id="0">
    <w:p w14:paraId="094DADCD" w14:textId="77777777" w:rsidR="00CD7D9A" w:rsidRDefault="00CD7D9A" w:rsidP="00D6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Mangal"/>
    <w:panose1 w:val="020B0802040504020204"/>
    <w:charset w:val="00"/>
    <w:family w:val="swiss"/>
    <w:pitch w:val="variable"/>
    <w:sig w:usb0="E00082FF" w:usb1="400078FF" w:usb2="0800002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oto Sans Med">
    <w:altName w:val="Calibri"/>
    <w:charset w:val="00"/>
    <w:family w:val="swiss"/>
    <w:pitch w:val="variable"/>
    <w:sig w:usb0="E00002FF" w:usb1="4000001F" w:usb2="08000029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EF64" w14:textId="0784E59C" w:rsidR="00D61B60" w:rsidRDefault="00F825C8">
    <w:pPr>
      <w:pStyle w:val="Pidipagina"/>
    </w:pPr>
    <w:r w:rsidRPr="006B448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22E738" wp14:editId="031DB92D">
              <wp:simplePos x="0" y="0"/>
              <wp:positionH relativeFrom="column">
                <wp:posOffset>-87549</wp:posOffset>
              </wp:positionH>
              <wp:positionV relativeFrom="paragraph">
                <wp:posOffset>-153751</wp:posOffset>
              </wp:positionV>
              <wp:extent cx="5321300" cy="917913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1300" cy="9179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B924DE" w14:textId="5C669D9F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Unità locale: </w:t>
                          </w:r>
                          <w:r w:rsidR="00963DE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Reguitti - </w:t>
                          </w: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Zona industriale località Fondi 33, 25071 Agnosine (BS), Italia T: +39 0365 896186</w:t>
                          </w:r>
                        </w:p>
                        <w:p w14:paraId="7BBD417E" w14:textId="77777777" w:rsidR="00963DEC" w:rsidRDefault="00963DEC" w:rsidP="00963DE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E5768A">
                            <w:rPr>
                              <w:rFonts w:ascii="Noto Sans Med" w:hAnsi="Noto Sans Med" w:cs="Noto Sans Med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PEC:</w:t>
                          </w:r>
                          <w:r w:rsidRPr="00E5768A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gsginternational@legalmail.</w:t>
                          </w:r>
                          <w: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it</w:t>
                          </w:r>
                        </w:p>
                        <w:p w14:paraId="30C82201" w14:textId="09A50A7C" w:rsidR="00253BCC" w:rsidRPr="006620F1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6620F1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Cap. Soc. € 14.900.000,00 int. vers. – Iscr. Reg. Imprese BO 02480780374 – P.IVA IT 00581811205</w:t>
                          </w:r>
                        </w:p>
                        <w:p w14:paraId="08CD538A" w14:textId="77777777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Assoggettata all’attività di direzione e coordinamento di Schlegel Acquisition Holdings Limited con sede in </w:t>
                          </w:r>
                        </w:p>
                        <w:p w14:paraId="3928F2A4" w14:textId="480A7A13" w:rsidR="00D61B60" w:rsidRPr="00916822" w:rsidRDefault="00253BCC" w:rsidP="00253BCC">
                          <w:pPr>
                            <w:rPr>
                              <w:rFonts w:ascii="Verdana" w:hAnsi="Verdana"/>
                              <w:b/>
                              <w:bCs/>
                              <w:color w:val="3A4C00"/>
                              <w:sz w:val="12"/>
                              <w:szCs w:val="12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</w:rPr>
                            <w:t>29 Queen Anne’s Gate, London SW1H 9BU, United Kingdom - Company reg. no. 05686572.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22E73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-6.9pt;margin-top:-12.1pt;width:419pt;height:7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54GQ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" filled="f" stroked="f" strokeweight=".5pt">
              <v:textbox>
                <w:txbxContent>
                  <w:p w14:paraId="43B924DE" w14:textId="5C669D9F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Unità locale: </w:t>
                    </w:r>
                    <w:r w:rsidR="00963DE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Reguitti - </w:t>
                    </w: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Zona industriale località Fondi 33, 25071 Agnosine (BS), Italia T: +39 0365 896186</w:t>
                    </w:r>
                  </w:p>
                  <w:p w14:paraId="7BBD417E" w14:textId="77777777" w:rsidR="00963DEC" w:rsidRDefault="00963DEC" w:rsidP="00963DE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E5768A">
                      <w:rPr>
                        <w:rFonts w:ascii="Noto Sans Med" w:hAnsi="Noto Sans Med" w:cs="Noto Sans Med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PEC:</w:t>
                    </w:r>
                    <w:r w:rsidRPr="00E5768A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 gsginternational@legalmail.</w:t>
                    </w:r>
                    <w: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it</w:t>
                    </w:r>
                  </w:p>
                  <w:p w14:paraId="30C82201" w14:textId="09A50A7C" w:rsidR="00253BCC" w:rsidRPr="006620F1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6620F1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Cap. Soc. € 14.900.000,00 int. vers. – Iscr. Reg. Imprese BO 02480780374 – P.IVA IT 00581811205</w:t>
                    </w:r>
                  </w:p>
                  <w:p w14:paraId="08CD538A" w14:textId="77777777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Assoggettata all’attività di direzione e coordinamento di Schlegel Acquisition Holdings Limited con sede in </w:t>
                    </w:r>
                  </w:p>
                  <w:p w14:paraId="3928F2A4" w14:textId="480A7A13" w:rsidR="00D61B60" w:rsidRPr="00916822" w:rsidRDefault="00253BCC" w:rsidP="00253BCC">
                    <w:pPr>
                      <w:rPr>
                        <w:rFonts w:ascii="Verdana" w:hAnsi="Verdana"/>
                        <w:b/>
                        <w:bCs/>
                        <w:color w:val="3A4C00"/>
                        <w:sz w:val="12"/>
                        <w:szCs w:val="12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</w:rPr>
                      <w:t>29 Queen Anne’s Gate, London SW1H 9BU, United Kingdom - Company reg. no. 05686572.</w:t>
                    </w:r>
                  </w:p>
                </w:txbxContent>
              </v:textbox>
            </v:shape>
          </w:pict>
        </mc:Fallback>
      </mc:AlternateContent>
    </w:r>
    <w:r w:rsidR="006B6B03">
      <w:rPr>
        <w:noProof/>
      </w:rPr>
      <w:drawing>
        <wp:anchor distT="0" distB="0" distL="114300" distR="114300" simplePos="0" relativeHeight="251662336" behindDoc="0" locked="0" layoutInCell="1" allowOverlap="1" wp14:anchorId="4A5D71FD" wp14:editId="1069558F">
          <wp:simplePos x="0" y="0"/>
          <wp:positionH relativeFrom="column">
            <wp:posOffset>4764488</wp:posOffset>
          </wp:positionH>
          <wp:positionV relativeFrom="paragraph">
            <wp:posOffset>-1235710</wp:posOffset>
          </wp:positionV>
          <wp:extent cx="3568700" cy="3581400"/>
          <wp:effectExtent l="0" t="0" r="0" b="0"/>
          <wp:wrapNone/>
          <wp:docPr id="9" name="Picture 9" descr="Chart, icon, sunburst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Chart, icon, sunburst ch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8700" cy="3581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ECA3" w14:textId="77777777" w:rsidR="00CD7D9A" w:rsidRDefault="00CD7D9A" w:rsidP="00D61B60">
      <w:r>
        <w:separator/>
      </w:r>
    </w:p>
  </w:footnote>
  <w:footnote w:type="continuationSeparator" w:id="0">
    <w:p w14:paraId="55F2B515" w14:textId="77777777" w:rsidR="00CD7D9A" w:rsidRDefault="00CD7D9A" w:rsidP="00D6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B020" w14:textId="73FB9479" w:rsidR="00CB4BE5" w:rsidRDefault="00230F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CE545D" wp14:editId="47BBD092">
              <wp:simplePos x="0" y="0"/>
              <wp:positionH relativeFrom="column">
                <wp:posOffset>3393989</wp:posOffset>
              </wp:positionH>
              <wp:positionV relativeFrom="paragraph">
                <wp:posOffset>-103591</wp:posOffset>
              </wp:positionV>
              <wp:extent cx="3281800" cy="873211"/>
              <wp:effectExtent l="0" t="0" r="0" b="31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1800" cy="87321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39E6C7" w14:textId="24BDDEDF" w:rsidR="00230FEB" w:rsidRPr="002640B0" w:rsidRDefault="00230FEB" w:rsidP="00F42520">
                          <w:pPr>
                            <w:ind w:right="1411"/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Giesse S.p.A. società con unico socio</w:t>
                          </w:r>
                          <w:r w:rsidR="00F4252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F42520" w:rsidRPr="00F4252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Tyman International</w:t>
                          </w:r>
                          <w:r w:rsidR="00F42520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</w:p>
                        <w:p w14:paraId="03A1AB3A" w14:textId="68065B90" w:rsidR="002640B0" w:rsidRPr="002640B0" w:rsidRDefault="00E5768A" w:rsidP="002640B0">
                          <w:pPr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Sede legale: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Via Tubertini 1, 40054 Budrio– Italy 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T: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+39 051 8850000 </w:t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info.it</w:t>
                          </w:r>
                          <w:r w:rsidR="002640B0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@tyman.com</w:t>
                          </w:r>
                        </w:p>
                        <w:p w14:paraId="6C3284D1" w14:textId="77777777" w:rsidR="002640B0" w:rsidRPr="002640B0" w:rsidRDefault="002640B0" w:rsidP="002640B0">
                          <w:pPr>
                            <w:snapToGrid w:val="0"/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</w:pPr>
                          <w:r w:rsidRPr="002640B0">
                            <w:rPr>
                              <w:rFonts w:cs="Noto Sans"/>
                              <w:noProof/>
                              <w:position w:val="-6"/>
                              <w:sz w:val="16"/>
                              <w:szCs w:val="16"/>
                            </w:rPr>
                            <w:drawing>
                              <wp:inline distT="0" distB="0" distL="0" distR="0" wp14:anchorId="48BD3A03" wp14:editId="1E6760A8">
                                <wp:extent cx="125730" cy="125999"/>
                                <wp:effectExtent l="0" t="0" r="7620" b="7620"/>
                                <wp:docPr id="1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Picture 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07" r="10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5730" cy="125999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de-DE"/>
                            </w:rPr>
                            <w:t>tyman-international.com</w:t>
                          </w:r>
                        </w:p>
                        <w:p w14:paraId="12B67A5D" w14:textId="691E4155" w:rsidR="00CB4BE5" w:rsidRPr="00230FEB" w:rsidRDefault="00CB4BE5" w:rsidP="002640B0">
                          <w:pPr>
                            <w:snapToGrid w:val="0"/>
                            <w:spacing w:line="360" w:lineRule="auto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E545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67.25pt;margin-top:-8.15pt;width:258.4pt;height:6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" fillcolor="white [3201]" stroked="f" strokeweight=".5pt">
              <v:textbox>
                <w:txbxContent>
                  <w:p w14:paraId="4B39E6C7" w14:textId="24BDDEDF" w:rsidR="00230FEB" w:rsidRPr="002640B0" w:rsidRDefault="00230FEB" w:rsidP="00F42520">
                    <w:pPr>
                      <w:ind w:right="1411"/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Giesse S.p.A. società con unico socio</w:t>
                    </w:r>
                    <w:r w:rsidR="00F4252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F42520" w:rsidRPr="00F4252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Tyman International</w:t>
                    </w:r>
                    <w:r w:rsidR="00F42520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 </w:t>
                    </w:r>
                  </w:p>
                  <w:p w14:paraId="03A1AB3A" w14:textId="68065B90" w:rsidR="002640B0" w:rsidRPr="002640B0" w:rsidRDefault="00E5768A" w:rsidP="002640B0">
                    <w:pPr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Sede legale: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Via Tubertini 1, 40054 Budrio– Italy 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T: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 +39 051 8850000 </w:t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info.it</w:t>
                    </w:r>
                    <w:r w:rsidR="002640B0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@tyman.com</w:t>
                    </w:r>
                  </w:p>
                  <w:p w14:paraId="6C3284D1" w14:textId="77777777" w:rsidR="002640B0" w:rsidRPr="002640B0" w:rsidRDefault="002640B0" w:rsidP="002640B0">
                    <w:pPr>
                      <w:snapToGrid w:val="0"/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</w:pPr>
                    <w:r w:rsidRPr="002640B0">
                      <w:rPr>
                        <w:rFonts w:cs="Noto Sans"/>
                        <w:noProof/>
                        <w:position w:val="-6"/>
                        <w:sz w:val="16"/>
                        <w:szCs w:val="16"/>
                      </w:rPr>
                      <w:drawing>
                        <wp:inline distT="0" distB="0" distL="0" distR="0" wp14:anchorId="48BD3A03" wp14:editId="1E6760A8">
                          <wp:extent cx="125730" cy="125999"/>
                          <wp:effectExtent l="0" t="0" r="7620" b="7620"/>
                          <wp:docPr id="1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" name="Picture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07" r="10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5730" cy="125999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640B0"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de-DE"/>
                      </w:rPr>
                      <w:t>tyman-international.com</w:t>
                    </w:r>
                  </w:p>
                  <w:p w14:paraId="12B67A5D" w14:textId="691E4155" w:rsidR="00CB4BE5" w:rsidRPr="00230FEB" w:rsidRDefault="00CB4BE5" w:rsidP="002640B0">
                    <w:pPr>
                      <w:snapToGrid w:val="0"/>
                      <w:spacing w:line="360" w:lineRule="auto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F825C8">
      <w:rPr>
        <w:noProof/>
      </w:rPr>
      <w:drawing>
        <wp:anchor distT="0" distB="0" distL="114300" distR="114300" simplePos="0" relativeHeight="251663360" behindDoc="0" locked="0" layoutInCell="1" allowOverlap="1" wp14:anchorId="17B5DA1B" wp14:editId="2EE70CF3">
          <wp:simplePos x="0" y="0"/>
          <wp:positionH relativeFrom="column">
            <wp:posOffset>-81280</wp:posOffset>
          </wp:positionH>
          <wp:positionV relativeFrom="paragraph">
            <wp:posOffset>-177800</wp:posOffset>
          </wp:positionV>
          <wp:extent cx="1934845" cy="571500"/>
          <wp:effectExtent l="0" t="0" r="0" b="0"/>
          <wp:wrapTopAndBottom/>
          <wp:docPr id="6" name="Picture 6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,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484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6DC6"/>
    <w:multiLevelType w:val="hybridMultilevel"/>
    <w:tmpl w:val="18E20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6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883"/>
    <w:rsid w:val="00015947"/>
    <w:rsid w:val="000211E8"/>
    <w:rsid w:val="0004143E"/>
    <w:rsid w:val="00077EEA"/>
    <w:rsid w:val="000A0AE8"/>
    <w:rsid w:val="000B7EAB"/>
    <w:rsid w:val="00160627"/>
    <w:rsid w:val="0017288A"/>
    <w:rsid w:val="00175100"/>
    <w:rsid w:val="00230FEB"/>
    <w:rsid w:val="0023563B"/>
    <w:rsid w:val="0024302D"/>
    <w:rsid w:val="00243FCA"/>
    <w:rsid w:val="0024797C"/>
    <w:rsid w:val="00253BCC"/>
    <w:rsid w:val="002640B0"/>
    <w:rsid w:val="0027292C"/>
    <w:rsid w:val="00300FF0"/>
    <w:rsid w:val="0031697C"/>
    <w:rsid w:val="00384AE0"/>
    <w:rsid w:val="003A6A8F"/>
    <w:rsid w:val="003D4B67"/>
    <w:rsid w:val="00410B2D"/>
    <w:rsid w:val="0046763A"/>
    <w:rsid w:val="00467CB7"/>
    <w:rsid w:val="00492A14"/>
    <w:rsid w:val="004D3C3E"/>
    <w:rsid w:val="004D495B"/>
    <w:rsid w:val="004E609B"/>
    <w:rsid w:val="00503D4E"/>
    <w:rsid w:val="00544FF0"/>
    <w:rsid w:val="005E3F96"/>
    <w:rsid w:val="005E499B"/>
    <w:rsid w:val="00632A25"/>
    <w:rsid w:val="00661CAE"/>
    <w:rsid w:val="006620F1"/>
    <w:rsid w:val="0066756D"/>
    <w:rsid w:val="00675AD2"/>
    <w:rsid w:val="0067779A"/>
    <w:rsid w:val="006B4488"/>
    <w:rsid w:val="006B6B03"/>
    <w:rsid w:val="006F0B2E"/>
    <w:rsid w:val="00707CE2"/>
    <w:rsid w:val="007142FD"/>
    <w:rsid w:val="00765883"/>
    <w:rsid w:val="0077040F"/>
    <w:rsid w:val="00792A28"/>
    <w:rsid w:val="007E7A04"/>
    <w:rsid w:val="007F365A"/>
    <w:rsid w:val="00823D3C"/>
    <w:rsid w:val="00846EBC"/>
    <w:rsid w:val="008506C1"/>
    <w:rsid w:val="00852A86"/>
    <w:rsid w:val="008B1D81"/>
    <w:rsid w:val="008F2B72"/>
    <w:rsid w:val="00916822"/>
    <w:rsid w:val="00924581"/>
    <w:rsid w:val="009621E9"/>
    <w:rsid w:val="00963DEC"/>
    <w:rsid w:val="00984162"/>
    <w:rsid w:val="00995BC2"/>
    <w:rsid w:val="009B1ACD"/>
    <w:rsid w:val="009D32B8"/>
    <w:rsid w:val="00A06A55"/>
    <w:rsid w:val="00A1511B"/>
    <w:rsid w:val="00A24972"/>
    <w:rsid w:val="00A91038"/>
    <w:rsid w:val="00A9431A"/>
    <w:rsid w:val="00AC31BE"/>
    <w:rsid w:val="00AF2C43"/>
    <w:rsid w:val="00B076BF"/>
    <w:rsid w:val="00B7543A"/>
    <w:rsid w:val="00B914DD"/>
    <w:rsid w:val="00BB55D1"/>
    <w:rsid w:val="00BC7AF6"/>
    <w:rsid w:val="00BF1AFC"/>
    <w:rsid w:val="00C00901"/>
    <w:rsid w:val="00C37B90"/>
    <w:rsid w:val="00C63309"/>
    <w:rsid w:val="00C64B5C"/>
    <w:rsid w:val="00CB4BE5"/>
    <w:rsid w:val="00CB5729"/>
    <w:rsid w:val="00CB68BE"/>
    <w:rsid w:val="00CC2D3D"/>
    <w:rsid w:val="00CC4F25"/>
    <w:rsid w:val="00CD7D9A"/>
    <w:rsid w:val="00D61B60"/>
    <w:rsid w:val="00DC2E9B"/>
    <w:rsid w:val="00E46C6F"/>
    <w:rsid w:val="00E5768A"/>
    <w:rsid w:val="00EC2461"/>
    <w:rsid w:val="00ED1F18"/>
    <w:rsid w:val="00F42520"/>
    <w:rsid w:val="00F80AF9"/>
    <w:rsid w:val="00F825C8"/>
    <w:rsid w:val="00F86F10"/>
    <w:rsid w:val="00F905F7"/>
    <w:rsid w:val="00FC1E92"/>
    <w:rsid w:val="00FD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436D4"/>
  <w15:chartTrackingRefBased/>
  <w15:docId w15:val="{574465D1-8BBC-4AF5-8585-9B5E7DF4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oto Sans" w:eastAsiaTheme="minorHAnsi" w:hAnsi="Noto Sans" w:cs="Times New Roman (Body CS)"/>
        <w:color w:val="42424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1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icParagraph">
    <w:name w:val="[Basic Paragraph]"/>
    <w:basedOn w:val="Normale"/>
    <w:uiPriority w:val="99"/>
    <w:rsid w:val="008F2B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60"/>
  </w:style>
  <w:style w:type="paragraph" w:styleId="Pidipagina">
    <w:name w:val="footer"/>
    <w:basedOn w:val="Normale"/>
    <w:link w:val="Pidipagina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60"/>
  </w:style>
  <w:style w:type="paragraph" w:customStyle="1" w:styleId="Default">
    <w:name w:val="Default"/>
    <w:rsid w:val="00CB5729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NormaleWeb">
    <w:name w:val="Normal (Web)"/>
    <w:basedOn w:val="Normale"/>
    <w:uiPriority w:val="99"/>
    <w:unhideWhenUsed/>
    <w:rsid w:val="00F86F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230FEB"/>
    <w:rPr>
      <w:color w:val="FEFFF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0FE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620F1"/>
    <w:pPr>
      <w:ind w:left="720"/>
      <w:contextualSpacing/>
    </w:pPr>
    <w:rPr>
      <w:rFonts w:asciiTheme="minorHAnsi" w:hAnsiTheme="minorHAnsi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.jones\AppData\Local\Microsoft\Windows\INetCache\Content.Outlook\9HTBAGSY\Tyman%20letterhead_%20(002).dotx" TargetMode="External"/></Relationships>
</file>

<file path=word/theme/theme1.xml><?xml version="1.0" encoding="utf-8"?>
<a:theme xmlns:a="http://schemas.openxmlformats.org/drawingml/2006/main" name="Office Theme">
  <a:themeElements>
    <a:clrScheme name="Tyman Brand ">
      <a:dk1>
        <a:srgbClr val="3A4C00"/>
      </a:dk1>
      <a:lt1>
        <a:srgbClr val="FFFFFF"/>
      </a:lt1>
      <a:dk2>
        <a:srgbClr val="B2BB1E"/>
      </a:dk2>
      <a:lt2>
        <a:srgbClr val="FFFFFF"/>
      </a:lt2>
      <a:accent1>
        <a:srgbClr val="B2BB1E"/>
      </a:accent1>
      <a:accent2>
        <a:srgbClr val="3A4C00"/>
      </a:accent2>
      <a:accent3>
        <a:srgbClr val="BBB0A3"/>
      </a:accent3>
      <a:accent4>
        <a:srgbClr val="666666"/>
      </a:accent4>
      <a:accent5>
        <a:srgbClr val="FDC52F"/>
      </a:accent5>
      <a:accent6>
        <a:srgbClr val="A3BBC3"/>
      </a:accent6>
      <a:hlink>
        <a:srgbClr val="FEFFFE"/>
      </a:hlink>
      <a:folHlink>
        <a:srgbClr val="FEFFFE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7F6A61878FE45822BC51A5187A03E" ma:contentTypeVersion="15" ma:contentTypeDescription="Create a new document." ma:contentTypeScope="" ma:versionID="df71ec7a5b546791a153f03f9f60a142">
  <xsd:schema xmlns:xsd="http://www.w3.org/2001/XMLSchema" xmlns:xs="http://www.w3.org/2001/XMLSchema" xmlns:p="http://schemas.microsoft.com/office/2006/metadata/properties" xmlns:ns2="0d8027e5-b8dd-4744-9395-823a93b6dd79" xmlns:ns3="0a0503fa-8b6f-4955-9d60-3b3202a4189b" targetNamespace="http://schemas.microsoft.com/office/2006/metadata/properties" ma:root="true" ma:fieldsID="996ed7e3cf7f5e07f274cb790aed7329" ns2:_="" ns3:_="">
    <xsd:import namespace="0d8027e5-b8dd-4744-9395-823a93b6dd79"/>
    <xsd:import namespace="0a0503fa-8b6f-4955-9d60-3b3202a41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027e5-b8dd-4744-9395-823a93b6dd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160084-a66c-4c65-bd54-c15d4ac27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503fa-8b6f-4955-9d60-3b3202a41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9eb931-13ec-4e05-a635-2cdc55673b65}" ma:internalName="TaxCatchAll" ma:showField="CatchAllData" ma:web="0a0503fa-8b6f-4955-9d60-3b3202a41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0503fa-8b6f-4955-9d60-3b3202a4189b" xsi:nil="true"/>
    <lcf76f155ced4ddcb4097134ff3c332f xmlns="0d8027e5-b8dd-4744-9395-823a93b6dd7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F5211F-D26C-49DF-A89A-F44194F34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027e5-b8dd-4744-9395-823a93b6dd79"/>
    <ds:schemaRef ds:uri="0a0503fa-8b6f-4955-9d60-3b3202a41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367853-6B3E-4F93-BAB6-C39C49463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08CA3-338A-4913-9548-FF5C3A3DE502}">
  <ds:schemaRefs>
    <ds:schemaRef ds:uri="http://purl.org/dc/terms/"/>
    <ds:schemaRef ds:uri="0a0503fa-8b6f-4955-9d60-3b3202a4189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d8027e5-b8dd-4744-9395-823a93b6dd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BE4814-6176-CA46-88BC-1A76C00B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Tyman letterhead_ (002)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Jones</dc:creator>
  <cp:keywords/>
  <dc:description/>
  <cp:lastModifiedBy>Stefano Dore</cp:lastModifiedBy>
  <cp:revision>2</cp:revision>
  <dcterms:created xsi:type="dcterms:W3CDTF">2024-03-28T10:58:00Z</dcterms:created>
  <dcterms:modified xsi:type="dcterms:W3CDTF">2024-03-28T10:58:00Z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0x0101009717F6A61878FE45822BC51A5187A03E</vt:lpwstr>
  </property>
</Properties>
</file>